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d858" w14:textId="b54d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498 "Қостанай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2012 жылғы 13 ақпандағы № 14 шешімі. Қостанай облысы Қостанай ауданының Әділет басқармасында 2012 жылғы 16 ақпанда № 9-14-168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"Қостанай ауданының 2012-2014 жылдарға арналған аудандық бюджеті туралы" 2011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9-14-165 нөмірімен тіркелген, 2012 жылғы 12 қаңтарда "Арна" газетінде жарияланды)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- 3773827,0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- 1862379,0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- 1900,0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- 80000,0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- 1829548,0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- 3893591,9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- 69989,8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- 74915,8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- 4926,0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 бойынша сальдо - 6937,0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- 6937,0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-196691,7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196691,7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Қостанай ауданының жергілікті атқарушы органының резерві 12000,0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аудан бюджетінде эпизоотияға қарсы шараларды өткізуге республикалық бюджеттен 19873,0 мың теңге сомасында нысаналы ағымдағы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"13. 2012 жылға арналған аудан бюджетінде "Өңірлерді дамыту"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өңірлердің экономикалық дамуына жәрдемдесу жөніндегі шараларды іске асыруда ауылдық (селолық) округтарды жайластыру мәселелерін шешуге 10119,0 мың теңге сомасында республикалық бюджеттен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"17. 2012 жылға арналған аудан бюджетінде мемлекеттік коммуналдық жылумен қамтамасыз ету кәсіпорындарының табиғи газ бағасының айырымын төлеуге 1337,0 мың теңге сомасында облыстық бюджеттен ағымдағы нысаналы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27-1-тармағымен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"27-1. 2012 жылға арналған аудан бюджетінде республикалық және облыстық бюджеттерге 24197,6 мың теңге сомасында нысаналы трансферттерді қайтару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сессиясының төрағасы               А. Аксаутова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Досжанов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З. Кенжегарина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73"/>
        <w:gridCol w:w="333"/>
        <w:gridCol w:w="513"/>
        <w:gridCol w:w="7813"/>
        <w:gridCol w:w="19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6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3773827,0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 санаттағы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1944279,0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1862379,0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673885,0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673885,0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535241,0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535241,0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422748,0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140764,0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22533,0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1829548,0</w:t>
            </w:r>
          </w:p>
        </w:tc>
      </w:tr>
      <w:tr>
        <w:trPr>
          <w:trHeight w:val="42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1829548,0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1829548,0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73"/>
        <w:gridCol w:w="713"/>
        <w:gridCol w:w="693"/>
        <w:gridCol w:w="7353"/>
        <w:gridCol w:w="201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65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3893591,9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285062,0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қызметтерін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251773,0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66041,0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мемлекеттік басқа да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24818,0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дамыту,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2427821,3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оқытумен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146857,0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мөлшерін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2216079,3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2201114,3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2132480,3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40836,0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63472,0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63472,0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20614,0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және конкурстар 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30065,0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158259,0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135521,0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 етуге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12914,0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22738,0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21704,0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84385,0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81385,0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212896,0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172579,0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99131,0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181313,0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33156,0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46252,0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5637,0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8833,0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7833,0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 кезiнде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жүргiзiлетiн жерге орналастыру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18888,0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303188,0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279697,0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249697,0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35381,0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5859,0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26328,6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26328,6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24197,6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69989,8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74915,8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74915,8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74915,8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74915,8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74915,8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53"/>
        <w:gridCol w:w="673"/>
        <w:gridCol w:w="653"/>
        <w:gridCol w:w="7453"/>
        <w:gridCol w:w="199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8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 бюджеттік кредиттерді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73"/>
        <w:gridCol w:w="713"/>
        <w:gridCol w:w="713"/>
        <w:gridCol w:w="7353"/>
        <w:gridCol w:w="1993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16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Тапшылық (-), профицит (+)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-196691,7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196691,7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13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498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кент, ауылдар (селолар),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әкімдерінің аппараттары</w:t>
      </w:r>
      <w:r>
        <w:br/>
      </w:r>
      <w:r>
        <w:rPr>
          <w:rFonts w:ascii="Times New Roman"/>
          <w:b/>
          <w:i w:val="false"/>
          <w:color w:val="000000"/>
        </w:rPr>
        <w:t>
бойынша бюджеттік бағдарламалар жиынтығы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13"/>
        <w:gridCol w:w="2693"/>
        <w:gridCol w:w="2633"/>
        <w:gridCol w:w="2933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қызметтер"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шығыстары"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ұйымдастыру"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14965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13"/>
        <w:gridCol w:w="2693"/>
        <w:gridCol w:w="2453"/>
        <w:gridCol w:w="3113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көгалдандыру"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33668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30146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653"/>
        <w:gridCol w:w="3393"/>
        <w:gridCol w:w="4693"/>
      </w:tblGrid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ету"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Белозер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Борис-Романов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Мәскеу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Майкөл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селосы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