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0357" w14:textId="dae0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28 шілдедегі № 156 "Жер салығының базалық ставкаларының өзгерістері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2012 жылғы 24 шілдедегі № 51 шешімі. Қостанай облысының Әділет департаментінде 2012 жылғы 16 тамызда № 9-11-143 тіркелді. Күші жойылды - Қостанай облысы Қамысты ауданы мәслихатының 2015 жылғы 3 тамыздағы № 300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мәслихатының 03.08.2015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 (Салық кодексі)"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"Жер салығының базалық ставкаларының өзгерістері туралы" 2009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9-11-95 нөмірімен тіркелген, 2009 жылғы 11 қыркүйекте "Новый путь - Бозторғай"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Автотұрақтар (паркингтер), автомобильге май құю станциялары үшін бөлінген (бөліп шығарылған) жерлерді қоспағанда, Қазақстан Республикасының 2008 жылғы 10 желтоқсандағы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процентке ұлғайтылсын.".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Қамысты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