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8d51" w14:textId="ac18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Энтузиаст селолық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2012 жылғы 26 маусымдағы N 13/01 қаулысы. Қарағанды облысы Нұра ауданының Әділет басқармасында 2012 жылғы 26 маусымда N 8-14-176 тіркелді. Күші жойылды - Қарағанды облысы Нұра ауданы әкімдігінің 2012 жылғы 10 желтоқсандағы N 31/01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ауданы әкімдігінің 10.12.2012 N 31/01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2003 жылғы 28 сәуірдегі "Ветеринария саласындағы нормативтік құқықтық кесiмдердi бекiту туралы" N 407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және ұсақ малдың ауруына байланысты (бруцеллез) Нұра ауданы Энтузиаст селолық округінің аумағында бруцеллез бойынша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2003 жылғы 28 сәуірдегі "Ветеринария саласындағы нормативтік құқықтық кесiмдердi бекiту туралы" N 407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талаптарына сәйкес ірі қара және ұсақ мал иелері шектеулі іс-шараларын орындау бойынша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Нұра ауданының ауыл шаруашылығы және ветеринария бөлімі (О. Қантарбай) жануарлардың (бруцеллез) жұқпалы ауруларының таралуына жол бермеу және анықталған эпизоотиялық ошақтың ветеринариялық-санитариялық салауаттылығына жету мақсатында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26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 ветеринариялық-санитариялық шараларды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 Ветеринариялық бақылау және қадағалау комитетінің Нұра аудандық аумақтық инспекциясының бастығы Алшымбаев Ансари Нагаманұлына (келісім бойынша)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26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шектеу іс-шараларының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Досбол Боташұлы Бекмағанбетовке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Нұра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А.Н. Алшымбаев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26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