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3002" w14:textId="7493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2011 жылғы 16 қарашадағы 41 сессиясының "Мұқтаж азаматтардың жекелеген санаттарына қосымша әлеуметтік көмек көрсету туралы" N 388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5 сессиясының 2012 жылғы 12 сәуірдегі N 68 шешімі. Қарағанды облысы Нұра ауданының Әділет басқармасында 2012 жылғы 18 мамырда N 8-14-173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2011 жылғы 16 қарашадағы 41 сессиясының "Мұқтаж азаматтардың жекелеген санаттарына қосымша әлеуметтік көмек көрсету туралы" N 388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8-14-156 болып тіркелген, "Нұра" газетінің 2011 жылғы 17 желтоқсандағы N 51 (5237)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Қосымша әлеуметтік көмекке мұқтаж азаматтардың санаттары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қатысушыларына теңестірілген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 қамтылған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фтизиатрда тіркеуде тұрған туберкулезбен ауыратын науқастар.".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Мұқтаж азаматтардың жекелеген санаттарына әлеуметтік көмек көрсету шығындары "Жергілікті өкілетті органдардың шешімі бойынша мұқтаж азаматтардың жекелеген санаттарына әлеуметтік көмек" 451007 бағдарламасы бойынша аудандық бюджетінде қарастырылған қаржы шегінде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әлеуметтік-мәдени дамуы және халықты әлеуметтік қорғау бойынша тұрақты комиссиясына жүктелсін (Гаевская Т.А.).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"Нұра ауданының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Жүпенова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