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ba6e" w14:textId="344b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 ұйымдарының кәмелетке толмаған бітірушілері үшін және бас бостандығынан айыру орындарынан босатылған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2012 жылғы 17 сәуірдегі N 09/03 қаулысы. Қарағанды облысы Нұра ауданының Әділет басқармасында 2012 жылғы 17 мамырда N 8-14-172 тіркелді. Күші жойылды - Қарағанды облысы Нұра ауданы әкімдігінің 2013 жылғы 20 ақпандағы N 06/01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 әкімдігінің 20.02.2013 N 06/01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Нұра ауданы бойынша барлық нысан меншігіндегі мекемелерде және ұйымдарда, кәсіпорындарда жұмыс орындарының жалпы санынан 0,5 пайыз көлемінде интернат ұйымдарының кәмелетке толмаған бітірушілері үшін және бас бостандығынан айыру орындарынан босатылған адамдар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Нұра ауданының жұмыспен қамту және әлеуметтік бағдарламалар бөлімі (Жүпенова Гүлнәр Такуқызы) квотаға сәйкес, бар бос жұмыс орындарына интернат ұйымдарының кәмелетке толмаған бітірушілерін және бас бостандығынан айыру орындарынан босатылған адамдардың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Асхат Қанатұлы Аймағамбетовқа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