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d3aa" w14:textId="e7ad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"Сәулет-жоспарлау тапсырмасын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20 желтоқсандағы N 47/01 қаулысы. Қарағанды облысының Әділет департаментінде 2013 жылғы 25 қаңтарда N 2140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Қазақстан Республикасы Үкiметiнiң 2012 жылғы 31 тамыздағы N 1128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"Саран қаласының құрылыс, сәулет және қала құрылысы бөлімі" мемлекеттік мекемесі:</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белгіленген заңды тәртіпте бұқаралық ақпарат құралдарында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әкімінің орынбасары Мейрам Муратович Кожуховқа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6"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47/01 қаулысымен бекітілген</w:t>
      </w:r>
    </w:p>
    <w:bookmarkEnd w:id="1"/>
    <w:bookmarkStart w:name="z7" w:id="2"/>
    <w:p>
      <w:pPr>
        <w:spacing w:after="0"/>
        <w:ind w:left="0"/>
        <w:jc w:val="left"/>
      </w:pPr>
      <w:r>
        <w:rPr>
          <w:rFonts w:ascii="Times New Roman"/>
          <w:b/>
          <w:i w:val="false"/>
          <w:color w:val="000000"/>
        </w:rPr>
        <w:t xml:space="preserve"> 
"Сәулет-жоспарлау тапсырмасын беру" мемлекеттік қызмет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"Сәулет-жоспарлау тапсырмасын беру"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Орталық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кәсіпорынның филиалдары және тұлғалары:</w:t>
      </w:r>
      <w:r>
        <w:br/>
      </w:r>
      <w:r>
        <w:rPr>
          <w:rFonts w:ascii="Times New Roman"/>
          <w:b w:val="false"/>
          <w:i w:val="false"/>
          <w:color w:val="000000"/>
          <w:sz w:val="28"/>
        </w:rPr>
        <w:t xml:space="preserve">
      2) тұтынушы – жеке және заңды тұлға; </w:t>
      </w:r>
      <w:r>
        <w:br/>
      </w:r>
      <w:r>
        <w:rPr>
          <w:rFonts w:ascii="Times New Roman"/>
          <w:b w:val="false"/>
          <w:i w:val="false"/>
          <w:color w:val="000000"/>
          <w:sz w:val="28"/>
        </w:rPr>
        <w:t xml:space="preserve">
      3) уәкілетті орган – сәулет және қала құрылысы саласындағы функцияларды жүзеге асыратын "Саран қаласының құрылыс, сәулет және қала құрылысы бөлімі" (бұдан әрі – уәкілетті орган). </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Мемлекеттік қызмет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уәкілетті органмен, сондай-ақ баламалы негізде Орталықпен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сәулет, қала құрылысы және құрылыс қызметі туралы" Қазақстан Республикасы Заңының 1 бабының </w:t>
      </w:r>
      <w:r>
        <w:rPr>
          <w:rFonts w:ascii="Times New Roman"/>
          <w:b w:val="false"/>
          <w:i w:val="false"/>
          <w:color w:val="000000"/>
          <w:sz w:val="28"/>
        </w:rPr>
        <w:t>49) тармақшасының</w:t>
      </w:r>
      <w:r>
        <w:rPr>
          <w:rFonts w:ascii="Times New Roman"/>
          <w:b w:val="false"/>
          <w:i w:val="false"/>
          <w:color w:val="000000"/>
          <w:sz w:val="28"/>
        </w:rPr>
        <w:t xml:space="preserve"> және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N 425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2012 жылғы 31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N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p>
    <w:bookmarkEnd w:id="6"/>
    <w:bookmarkStart w:name="z14"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5" w:id="8"/>
    <w:p>
      <w:pPr>
        <w:spacing w:after="0"/>
        <w:ind w:left="0"/>
        <w:jc w:val="both"/>
      </w:pPr>
      <w:r>
        <w:rPr>
          <w:rFonts w:ascii="Times New Roman"/>
          <w:b w:val="false"/>
          <w:i w:val="false"/>
          <w:color w:val="000000"/>
          <w:sz w:val="28"/>
        </w:rPr>
        <w:t>
      5.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тапсырмасын беру не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сенбіге дейін, мекенжайлары және телефондары осы регламенттің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жұмаға дейін, мекенжайлары және телефондары осы регламенттің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қабылдау алдын ала жазылусыз және тездетіп қызмет көрсетусіз, "электрондық" кезек тәртібімен жүзеге асырылады.</w:t>
      </w:r>
      <w:r>
        <w:br/>
      </w:r>
      <w:r>
        <w:rPr>
          <w:rFonts w:ascii="Times New Roman"/>
          <w:b w:val="false"/>
          <w:i w:val="false"/>
          <w:color w:val="000000"/>
          <w:sz w:val="28"/>
        </w:rPr>
        <w:t xml:space="preserve">
      Тұтынушының қалауы бойынша электрондық кезекті "электрондық үкіметің" веб-порталы арқылы броньдауға болады.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тұтынушы тұрып жатқан немесе тіркелген жердегі уәкілетті органның және Орталықтың ғимаратында көрсетіледі, онда мүмкіндігі шектеулі тұтынушыларға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 </w:t>
      </w:r>
    </w:p>
    <w:bookmarkEnd w:id="8"/>
    <w:bookmarkStart w:name="z21" w:id="9"/>
    <w:p>
      <w:pPr>
        <w:spacing w:after="0"/>
        <w:ind w:left="0"/>
        <w:jc w:val="left"/>
      </w:pPr>
      <w:r>
        <w:rPr>
          <w:rFonts w:ascii="Times New Roman"/>
          <w:b/>
          <w:i w:val="false"/>
          <w:color w:val="000000"/>
        </w:rPr>
        <w:t xml:space="preserve"> 
4. Мемлекеттік қызметтерді көрсету үрдісінде іс-әрекет (өзара әрекет) тәртібінің сипаттамасы</w:t>
      </w:r>
    </w:p>
    <w:bookmarkEnd w:id="9"/>
    <w:bookmarkStart w:name="z22" w:id="10"/>
    <w:p>
      <w:pPr>
        <w:spacing w:after="0"/>
        <w:ind w:left="0"/>
        <w:jc w:val="both"/>
      </w:pPr>
      <w:r>
        <w:rPr>
          <w:rFonts w:ascii="Times New Roman"/>
          <w:b w:val="false"/>
          <w:i w:val="false"/>
          <w:color w:val="000000"/>
          <w:sz w:val="28"/>
        </w:rPr>
        <w:t>
      11.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xml:space="preserve">
      еркін нысандағы өтініш; </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регламентке 2 көрсетілген;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тұтынушымен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келіп түскен құжаттарды тексереді, қызмет көрсету нәтижесін ресiмдейдi, дәлелді бас тартуды немесе анықтаманы дайындайды, мемлекеттік қызмет көрсету нәтижесін Орталыққа немесе тұтынушыға жолдайды;</w:t>
      </w:r>
      <w:r>
        <w:br/>
      </w:r>
      <w:r>
        <w:rPr>
          <w:rFonts w:ascii="Times New Roman"/>
          <w:b w:val="false"/>
          <w:i w:val="false"/>
          <w:color w:val="000000"/>
          <w:sz w:val="28"/>
        </w:rPr>
        <w:t>
      5) Орталықтың инспекторы тұтынушыға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үшін тұтынушының құжаттарын қабылдауды бір тұлға уәкілетті органның және Орталықтың жұмыс кестесінің негізінде жұмыс күні бойы жүзеге асырады.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болған сәулет-жоспарлау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19.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3"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4" w:id="12"/>
    <w:p>
      <w:pPr>
        <w:spacing w:after="0"/>
        <w:ind w:left="0"/>
        <w:jc w:val="both"/>
      </w:pPr>
      <w:r>
        <w:rPr>
          <w:rFonts w:ascii="Times New Roman"/>
          <w:b w:val="false"/>
          <w:i w:val="false"/>
          <w:color w:val="000000"/>
          <w:sz w:val="28"/>
        </w:rPr>
        <w:t>
      22. Уәкілетті органның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p>
    <w:bookmarkEnd w:id="12"/>
    <w:bookmarkStart w:name="z35"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u w:val="single"/>
        </w:rPr>
        <w:t>"Саран қаласының құрылыс, сәулет және қала құрылысы бөлімі" ММ</w:t>
      </w:r>
    </w:p>
    <w:p>
      <w:pPr>
        <w:spacing w:after="0"/>
        <w:ind w:left="0"/>
        <w:jc w:val="both"/>
      </w:pPr>
      <w:r>
        <w:rPr>
          <w:rFonts w:ascii="Times New Roman"/>
          <w:b w:val="false"/>
          <w:i w:val="false"/>
          <w:color w:val="000000"/>
          <w:sz w:val="28"/>
        </w:rPr>
        <w:t>(республикалық маңызды қала, астана, облыстық маңызды қалалар, аудандардың сәулет және қала құрылысы органының атауы)</w:t>
      </w:r>
    </w:p>
    <w:p>
      <w:pPr>
        <w:spacing w:after="0"/>
        <w:ind w:left="0"/>
        <w:jc w:val="both"/>
      </w:pPr>
      <w:r>
        <w:rPr>
          <w:rFonts w:ascii="Times New Roman"/>
          <w:b w:val="false"/>
          <w:i w:val="false"/>
          <w:color w:val="000000"/>
          <w:sz w:val="28"/>
        </w:rPr>
        <w:t>(наименование органа архитектуры и градостроительства города республиканского значения, столицы, городов областного значения, районов)</w:t>
      </w:r>
    </w:p>
    <w:p>
      <w:pPr>
        <w:spacing w:after="0"/>
        <w:ind w:left="0"/>
        <w:jc w:val="both"/>
      </w:pPr>
      <w:r>
        <w:rPr>
          <w:rFonts w:ascii="Times New Roman"/>
          <w:b w:val="false"/>
          <w:i w:val="false"/>
          <w:color w:val="000000"/>
          <w:sz w:val="28"/>
          <w:u w:val="single"/>
        </w:rPr>
        <w:t>Саран қаласы, Жамбыл көшесі 67, 110 кабинет, saran_osaig@bk.ru 8 (72137) 25641</w:t>
      </w:r>
    </w:p>
    <w:p>
      <w:pPr>
        <w:spacing w:after="0"/>
        <w:ind w:left="0"/>
        <w:jc w:val="both"/>
      </w:pPr>
      <w:r>
        <w:rPr>
          <w:rFonts w:ascii="Times New Roman"/>
          <w:b w:val="false"/>
          <w:i w:val="false"/>
          <w:color w:val="000000"/>
          <w:sz w:val="28"/>
        </w:rPr>
        <w:t>(орналасқан жері, электрондық адресі, тел.)</w:t>
      </w:r>
    </w:p>
    <w:p>
      <w:pPr>
        <w:spacing w:after="0"/>
        <w:ind w:left="0"/>
        <w:jc w:val="both"/>
      </w:pPr>
      <w:r>
        <w:rPr>
          <w:rFonts w:ascii="Times New Roman"/>
          <w:b w:val="false"/>
          <w:i w:val="false"/>
          <w:color w:val="000000"/>
          <w:sz w:val="28"/>
        </w:rPr>
        <w:t>(местонахождение, электронный адрес, тел.)</w:t>
      </w:r>
    </w:p>
    <w:p>
      <w:pPr>
        <w:spacing w:after="0"/>
        <w:ind w:left="0"/>
        <w:jc w:val="both"/>
      </w:pPr>
      <w:r>
        <w:rPr>
          <w:rFonts w:ascii="Times New Roman"/>
          <w:b/>
          <w:i w:val="false"/>
          <w:color w:val="000000"/>
          <w:sz w:val="28"/>
        </w:rPr>
        <w:t>Б Е К І Т Е М І Н:</w:t>
      </w:r>
    </w:p>
    <w:p>
      <w:pPr>
        <w:spacing w:after="0"/>
        <w:ind w:left="0"/>
        <w:jc w:val="both"/>
      </w:pPr>
      <w:r>
        <w:rPr>
          <w:rFonts w:ascii="Times New Roman"/>
          <w:b/>
          <w:i w:val="false"/>
          <w:color w:val="000000"/>
          <w:sz w:val="28"/>
        </w:rPr>
        <w:t>У Т В Е Р Ж Д А Ю:</w:t>
      </w:r>
    </w:p>
    <w:p>
      <w:pPr>
        <w:spacing w:after="0"/>
        <w:ind w:left="0"/>
        <w:jc w:val="both"/>
      </w:pPr>
      <w:r>
        <w:rPr>
          <w:rFonts w:ascii="Times New Roman"/>
          <w:b w:val="false"/>
          <w:i w:val="false"/>
          <w:color w:val="000000"/>
          <w:sz w:val="28"/>
        </w:rPr>
        <w:t>Бас сәулетші (қала, аудан)</w:t>
      </w:r>
      <w:r>
        <w:br/>
      </w:r>
      <w:r>
        <w:rPr>
          <w:rFonts w:ascii="Times New Roman"/>
          <w:b w:val="false"/>
          <w:i w:val="false"/>
          <w:color w:val="000000"/>
          <w:sz w:val="28"/>
        </w:rPr>
        <w:t>
Главный архитектор (города, района)</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(Т.А.Ә.) (Ф.И.О.)</w:t>
      </w:r>
    </w:p>
    <w:p>
      <w:pPr>
        <w:spacing w:after="0"/>
        <w:ind w:left="0"/>
        <w:jc w:val="both"/>
      </w:pPr>
      <w:r>
        <w:rPr>
          <w:rFonts w:ascii="Times New Roman"/>
          <w:b w:val="false"/>
          <w:i w:val="false"/>
          <w:color w:val="000000"/>
          <w:sz w:val="28"/>
        </w:rPr>
        <w:t>ЖОБАЛАУҒА АРНАЛҒАН</w:t>
      </w:r>
      <w:r>
        <w:br/>
      </w:r>
      <w:r>
        <w:rPr>
          <w:rFonts w:ascii="Times New Roman"/>
          <w:b w:val="false"/>
          <w:i w:val="false"/>
          <w:color w:val="000000"/>
          <w:sz w:val="28"/>
        </w:rPr>
        <w:t>
СӘУЛЕТ-ЖОСПАРЛАУ ТАПСЫРМАСЫ (СЖТ)</w:t>
      </w:r>
    </w:p>
    <w:p>
      <w:pPr>
        <w:spacing w:after="0"/>
        <w:ind w:left="0"/>
        <w:jc w:val="both"/>
      </w:pPr>
      <w:r>
        <w:rPr>
          <w:rFonts w:ascii="Times New Roman"/>
          <w:b w:val="false"/>
          <w:i w:val="false"/>
          <w:color w:val="000000"/>
          <w:sz w:val="28"/>
        </w:rPr>
        <w:t>АРХИТЕКТУРНО-ПЛАНИРОВОЧНОЕ ЗАДАНИЕ (АПЗ)</w:t>
      </w:r>
      <w:r>
        <w:br/>
      </w:r>
      <w:r>
        <w:rPr>
          <w:rFonts w:ascii="Times New Roman"/>
          <w:b w:val="false"/>
          <w:i w:val="false"/>
          <w:color w:val="000000"/>
          <w:sz w:val="28"/>
        </w:rPr>
        <w:t>
НА ПРОЕКТИРОВАНИЕ</w:t>
      </w:r>
    </w:p>
    <w:p>
      <w:pPr>
        <w:spacing w:after="0"/>
        <w:ind w:left="0"/>
        <w:jc w:val="both"/>
      </w:pPr>
      <w:r>
        <w:rPr>
          <w:rFonts w:ascii="Times New Roman"/>
          <w:b w:val="false"/>
          <w:i w:val="false"/>
          <w:color w:val="000000"/>
          <w:sz w:val="28"/>
        </w:rPr>
        <w:t>20 ____ жылғы "____" __________N ______</w:t>
      </w:r>
      <w:r>
        <w:br/>
      </w:r>
      <w:r>
        <w:rPr>
          <w:rFonts w:ascii="Times New Roman"/>
          <w:b w:val="false"/>
          <w:i w:val="false"/>
          <w:color w:val="000000"/>
          <w:sz w:val="28"/>
        </w:rPr>
        <w:t>
N_______ от "____"_____________20 ____ года</w:t>
      </w:r>
    </w:p>
    <w:p>
      <w:pPr>
        <w:spacing w:after="0"/>
        <w:ind w:left="0"/>
        <w:jc w:val="both"/>
      </w:pPr>
      <w:r>
        <w:rPr>
          <w:rFonts w:ascii="Times New Roman"/>
          <w:b w:val="false"/>
          <w:i w:val="false"/>
          <w:color w:val="000000"/>
          <w:sz w:val="28"/>
        </w:rPr>
        <w:t>Объектің атауы: ___________________________________________________</w:t>
      </w:r>
      <w:r>
        <w:br/>
      </w:r>
      <w:r>
        <w:rPr>
          <w:rFonts w:ascii="Times New Roman"/>
          <w:b w:val="false"/>
          <w:i w:val="false"/>
          <w:color w:val="000000"/>
          <w:sz w:val="28"/>
        </w:rPr>
        <w:t>
Наименование объекта: 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Тапсырыс беруші (құрылыс салушы, инвестор): _______________________</w:t>
      </w:r>
      <w:r>
        <w:br/>
      </w:r>
      <w:r>
        <w:rPr>
          <w:rFonts w:ascii="Times New Roman"/>
          <w:b w:val="false"/>
          <w:i w:val="false"/>
          <w:color w:val="000000"/>
          <w:sz w:val="28"/>
        </w:rPr>
        <w:t>
Заказчик (застройщик, инвестор):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Қала (елді мекен), жыл</w:t>
      </w:r>
      <w:r>
        <w:br/>
      </w: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4"/>
        <w:gridCol w:w="7016"/>
      </w:tblGrid>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әзірлеу үшін негіздеме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әкімінің ______________ (күні, айы, жылы) N_____ қаулысы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N _______ от _________ (число, месяц, год)</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w:t>
            </w:r>
          </w:p>
          <w:p>
            <w:pPr>
              <w:spacing w:after="20"/>
              <w:ind w:left="20"/>
              <w:jc w:val="both"/>
            </w:pPr>
            <w:r>
              <w:rPr>
                <w:rFonts w:ascii="Times New Roman"/>
                <w:b w:val="false"/>
                <w:i w:val="false"/>
                <w:color w:val="000000"/>
                <w:sz w:val="20"/>
              </w:rPr>
              <w:t>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p>
          <w:p>
            <w:pPr>
              <w:spacing w:after="20"/>
              <w:ind w:left="20"/>
              <w:jc w:val="both"/>
            </w:pPr>
            <w:r>
              <w:rPr>
                <w:rFonts w:ascii="Times New Roman"/>
                <w:b w:val="false"/>
                <w:i w:val="false"/>
                <w:color w:val="000000"/>
                <w:sz w:val="20"/>
              </w:rPr>
              <w:t>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ЖЕР ТЕЛІМІНІҢ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ХАРАКТЕРИСТИКА УЧАСТКА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телімінің орналасқан жері</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зерттелінуі (түсірілімдердің болуы, олардың масштабы)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зерттелінуі (инженерлік-геологиялық, гидрогеологиялық, топырақ-ботаникалық материалдардың және басқа да іздестірулердің болуы)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ЖОБАЛАНАТЫН ОБЪЕКТІНІҢ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ХАРАКТЕРИСТИКА ПРОЕКТИРУЕМОГО ОБЪЕКТА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мақсаты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мақсатын ескере отырып, жоба бойынша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ГРАДОСТРОИТЕЛЬНЫЕ ТРЕБОВАНИЯ </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 бойынша шектес объектілермен қиыстыру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СӘУЛЕТ ТАЛАПТАРЫ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АРХИТЕКТУРНЫЕ ТРЕБОВАНИЯ</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ерекшеліктеріне сәйкес сәулеттік бейнесін қалыптастыру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рекламно-информационные установки согласно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p>
          <w:p>
            <w:pPr>
              <w:spacing w:after="20"/>
              <w:ind w:left="20"/>
              <w:jc w:val="both"/>
            </w:pPr>
            <w:r>
              <w:rPr>
                <w:rFonts w:ascii="Times New Roman"/>
                <w:b w:val="false"/>
                <w:i w:val="false"/>
                <w:color w:val="000000"/>
                <w:sz w:val="20"/>
              </w:rPr>
              <w:t>Қоршау құрастырмалары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66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p>
          <w:p>
            <w:pPr>
              <w:spacing w:after="20"/>
              <w:ind w:left="20"/>
              <w:jc w:val="both"/>
            </w:pPr>
            <w:r>
              <w:rPr>
                <w:rFonts w:ascii="Times New Roman"/>
                <w:b w:val="false"/>
                <w:i w:val="false"/>
                <w:color w:val="000000"/>
                <w:sz w:val="20"/>
              </w:rPr>
              <w:t>Ограждающие конструкций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ТРЕБОВАНИЯ К ИНЖЕНЕРНЫМ СЕТЯМ</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шарттарға сәйкес (ТШ N __ және берілген күні) </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жүйесі</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ҚҰРЫЛЫС САЛУШЫҒА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ОБЯЗАТЕЛЬСТВА, ВОЗЛАГАЕМЫЕ НА ЗАСТРОЙЩИКА</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құрылыстар мен құрылғыларды бұзу (ауыстыру) бойынша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төлемін уақытша қоршау құрылысы бойынша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p>
          <w:p>
            <w:pPr>
              <w:spacing w:after="20"/>
              <w:ind w:left="20"/>
              <w:jc w:val="both"/>
            </w:pPr>
            <w:r>
              <w:rPr>
                <w:rFonts w:ascii="Times New Roman"/>
                <w:b w:val="false"/>
                <w:i w:val="false"/>
                <w:color w:val="000000"/>
                <w:sz w:val="20"/>
              </w:rPr>
              <w:t>2. Жобалауды (жаңа құрылыс кезінде) түзетілген М 1:500 топографиялық түсірілім және бұрын орындалған геологиялық іздестірулер материалдарында жүргізу.</w:t>
            </w:r>
          </w:p>
          <w:p>
            <w:pPr>
              <w:spacing w:after="20"/>
              <w:ind w:left="20"/>
              <w:jc w:val="both"/>
            </w:pPr>
            <w:r>
              <w:rPr>
                <w:rFonts w:ascii="Times New Roman"/>
                <w:b w:val="false"/>
                <w:i w:val="false"/>
                <w:color w:val="000000"/>
                <w:sz w:val="20"/>
              </w:rPr>
              <w:t>3.Қаланың (ауданның) бас сәуетшісімен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желілердің жиынтық жоспары;</w:t>
            </w:r>
          </w:p>
          <w:p>
            <w:pPr>
              <w:spacing w:after="20"/>
              <w:ind w:left="20"/>
              <w:jc w:val="both"/>
            </w:pPr>
            <w:r>
              <w:rPr>
                <w:rFonts w:ascii="Times New Roman"/>
                <w:b w:val="false"/>
                <w:i w:val="false"/>
                <w:color w:val="000000"/>
                <w:sz w:val="20"/>
              </w:rPr>
              <w:t>- құрылыстың бас жоспары;</w:t>
            </w:r>
          </w:p>
          <w:p>
            <w:pPr>
              <w:spacing w:after="20"/>
              <w:ind w:left="20"/>
              <w:jc w:val="both"/>
            </w:pPr>
            <w:r>
              <w:rPr>
                <w:rFonts w:ascii="Times New Roman"/>
                <w:b w:val="false"/>
                <w:i w:val="false"/>
                <w:color w:val="000000"/>
                <w:sz w:val="20"/>
              </w:rPr>
              <w:t>- жарнамалық-ақпараттық қондырғылар.</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p>
          <w:p>
            <w:pPr>
              <w:spacing w:after="20"/>
              <w:ind w:left="20"/>
              <w:jc w:val="both"/>
            </w:pPr>
            <w:r>
              <w:rPr>
                <w:rFonts w:ascii="Times New Roman"/>
                <w:b w:val="false"/>
                <w:i w:val="false"/>
                <w:color w:val="000000"/>
                <w:sz w:val="20"/>
              </w:rPr>
              <w:t>3. Согласовать с главным архитектором города (района):</w:t>
            </w:r>
          </w:p>
          <w:p>
            <w:pPr>
              <w:spacing w:after="20"/>
              <w:ind w:left="20"/>
              <w:jc w:val="both"/>
            </w:pPr>
            <w:r>
              <w:rPr>
                <w:rFonts w:ascii="Times New Roman"/>
                <w:b w:val="false"/>
                <w:i w:val="false"/>
                <w:color w:val="000000"/>
                <w:sz w:val="20"/>
              </w:rPr>
              <w:t>-генеральный план в М 1:500;</w:t>
            </w:r>
          </w:p>
          <w:p>
            <w:pPr>
              <w:spacing w:after="20"/>
              <w:ind w:left="20"/>
              <w:jc w:val="both"/>
            </w:pPr>
            <w:r>
              <w:rPr>
                <w:rFonts w:ascii="Times New Roman"/>
                <w:b w:val="false"/>
                <w:i w:val="false"/>
                <w:color w:val="000000"/>
                <w:sz w:val="20"/>
              </w:rPr>
              <w:t>-сводный план инженерных сетей;</w:t>
            </w:r>
          </w:p>
          <w:p>
            <w:pPr>
              <w:spacing w:after="20"/>
              <w:ind w:left="20"/>
              <w:jc w:val="both"/>
            </w:pPr>
            <w:r>
              <w:rPr>
                <w:rFonts w:ascii="Times New Roman"/>
                <w:b w:val="false"/>
                <w:i w:val="false"/>
                <w:color w:val="000000"/>
                <w:sz w:val="20"/>
              </w:rPr>
              <w:t>-строительный генеральный план;</w:t>
            </w:r>
          </w:p>
          <w:p>
            <w:pPr>
              <w:spacing w:after="20"/>
              <w:ind w:left="20"/>
              <w:jc w:val="both"/>
            </w:pPr>
            <w:r>
              <w:rPr>
                <w:rFonts w:ascii="Times New Roman"/>
                <w:b w:val="false"/>
                <w:i w:val="false"/>
                <w:color w:val="000000"/>
                <w:sz w:val="20"/>
              </w:rPr>
              <w:t>-рекламно-информационные установки.</w:t>
            </w:r>
          </w:p>
        </w:tc>
      </w:tr>
    </w:tbl>
    <w:p>
      <w:pPr>
        <w:spacing w:after="0"/>
        <w:ind w:left="0"/>
        <w:jc w:val="both"/>
      </w:pPr>
      <w:r>
        <w:rPr>
          <w:rFonts w:ascii="Times New Roman"/>
          <w:b w:val="false"/>
          <w:i w:val="false"/>
          <w:color w:val="000000"/>
          <w:sz w:val="28"/>
        </w:rPr>
        <w:t>ЕСКЕРТУЛЕР:</w:t>
      </w:r>
    </w:p>
    <w:p>
      <w:pPr>
        <w:spacing w:after="0"/>
        <w:ind w:left="0"/>
        <w:jc w:val="both"/>
      </w:pP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могут быть внесены по согласованию с заказчиком. </w:t>
      </w:r>
      <w:r>
        <w:br/>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xml:space="preserve">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833"/>
      </w:tblGrid>
      <w:tr>
        <w:trPr>
          <w:trHeight w:val="7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құраған</w:t>
            </w:r>
          </w:p>
          <w:p>
            <w:pPr>
              <w:spacing w:after="20"/>
              <w:ind w:left="20"/>
              <w:jc w:val="both"/>
            </w:pPr>
            <w:r>
              <w:rPr>
                <w:rFonts w:ascii="Times New Roman"/>
                <w:b w:val="false"/>
                <w:i w:val="false"/>
                <w:color w:val="000000"/>
                <w:sz w:val="20"/>
              </w:rPr>
              <w:t>АПЗ составил</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(лауазымы, ТАӘ)</w:t>
            </w:r>
          </w:p>
          <w:p>
            <w:pPr>
              <w:spacing w:after="20"/>
              <w:ind w:left="20"/>
              <w:jc w:val="both"/>
            </w:pPr>
            <w:r>
              <w:rPr>
                <w:rFonts w:ascii="Times New Roman"/>
                <w:b w:val="false"/>
                <w:i w:val="false"/>
                <w:color w:val="000000"/>
                <w:sz w:val="20"/>
              </w:rPr>
              <w:t>(должность, ФИО)</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алдым</w:t>
            </w:r>
          </w:p>
          <w:p>
            <w:pPr>
              <w:spacing w:after="20"/>
              <w:ind w:left="20"/>
              <w:jc w:val="both"/>
            </w:pPr>
            <w:r>
              <w:rPr>
                <w:rFonts w:ascii="Times New Roman"/>
                <w:b w:val="false"/>
                <w:i w:val="false"/>
                <w:color w:val="000000"/>
                <w:sz w:val="20"/>
              </w:rPr>
              <w:t>АПЗ получил</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36" w:id="1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bookmarkStart w:name="z37" w:id="15"/>
    <w:p>
      <w:pPr>
        <w:spacing w:after="0"/>
        <w:ind w:left="0"/>
        <w:jc w:val="left"/>
      </w:pPr>
      <w:r>
        <w:rPr>
          <w:rFonts w:ascii="Times New Roman"/>
          <w:b/>
          <w:i w:val="false"/>
          <w:color w:val="000000"/>
        </w:rPr>
        <w:t xml:space="preserve"> 
Уәкілетті органның және Орталықтың мекенжайлары: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7545"/>
        <w:gridCol w:w="3164"/>
        <w:gridCol w:w="179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құрылыс, сәулет және қала құрылысы бөлімі" мемлекеттік мекемесі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Жамбыл көшесі, 67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2-56-41</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коммуникациялар министрлігінің халыққа қызмет көрсету орталығының мемлекеттік қызметтерді автоматтандыруды бақылау және үйлестіру жөніндегі Комитеті "Қарағанды облысы бойынша халыққа қызмет көрсету орталығы" шаруашылық жүргізу құқығындағы Республикалық мемлекеттік кәсіпорны филиалының Саран қаласының бөлімі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Жамбыл көшесі, 85/3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 және бақылау мен халыққа қызмет көрсету орталықтары қызметтерін үйлестіру бойынша "Қарағанды облысы бойынша ХҚКО" комитеті Республикалық мемлекеттік кәсіпорынның Саран қаласындағы бөлімінің Ақтас поселкесіндегі өкілдігі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Ақтас поселкесі, Первомайская көшесі,16б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5-50-34</w:t>
            </w:r>
          </w:p>
        </w:tc>
      </w:tr>
    </w:tbl>
    <w:p>
      <w:pPr>
        <w:spacing w:after="0"/>
        <w:ind w:left="0"/>
        <w:jc w:val="both"/>
      </w:pPr>
      <w:r>
        <w:rPr>
          <w:rFonts w:ascii="Times New Roman"/>
          <w:b w:val="false"/>
          <w:i w:val="false"/>
          <w:color w:val="000000"/>
          <w:sz w:val="28"/>
        </w:rPr>
        <w:t>      Ескертулер: ММ – мемлекеттік мекеме;</w:t>
      </w:r>
      <w:r>
        <w:br/>
      </w:r>
      <w:r>
        <w:rPr>
          <w:rFonts w:ascii="Times New Roman"/>
          <w:b w:val="false"/>
          <w:i w:val="false"/>
          <w:color w:val="000000"/>
          <w:sz w:val="28"/>
        </w:rPr>
        <w:t>
                  РМК - республикалық мемлекеттік кәсіпорыны.</w:t>
      </w:r>
    </w:p>
    <w:bookmarkStart w:name="z38" w:id="1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6"/>
    <w:bookmarkStart w:name="z39" w:id="17"/>
    <w:p>
      <w:pPr>
        <w:spacing w:after="0"/>
        <w:ind w:left="0"/>
        <w:jc w:val="left"/>
      </w:pPr>
      <w:r>
        <w:rPr>
          <w:rFonts w:ascii="Times New Roman"/>
          <w:b/>
          <w:i w:val="false"/>
          <w:color w:val="000000"/>
        </w:rPr>
        <w:t xml:space="preserve"> 
Мемлекеттік қызмет көрсету үдерісіндегі іс-әрекеттердің функционалдық өзара әрекеттесу сызбасы</w:t>
      </w:r>
    </w:p>
    <w:bookmarkEnd w:id="17"/>
    <w:p>
      <w:pPr>
        <w:spacing w:after="0"/>
        <w:ind w:left="0"/>
        <w:jc w:val="both"/>
      </w:pPr>
      <w:r>
        <w:drawing>
          <wp:inline distT="0" distB="0" distL="0" distR="0">
            <wp:extent cx="79629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62900" cy="6248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