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7431" w14:textId="25d7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43/14 қаулысы. Қарағанды облысының Әділет департаментінде 2012 жылғы 21 желтоқсанда N 2048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"Мүгедектерді сурдо-тифлотехникалық және</w:t>
      </w:r>
      <w:r>
        <w:br/>
      </w:r>
      <w:r>
        <w:rPr>
          <w:rFonts w:ascii="Times New Roman"/>
          <w:b/>
          <w:i w:val="false"/>
          <w:color w:val="000000"/>
        </w:rPr>
        <w:t>
міндетті гигиеналық құралдармен қамтамасыз</w:t>
      </w:r>
      <w:r>
        <w:br/>
      </w:r>
      <w:r>
        <w:rPr>
          <w:rFonts w:ascii="Times New Roman"/>
          <w:b/>
          <w:i w:val="false"/>
          <w:color w:val="000000"/>
        </w:rPr>
        <w:t>
ету үшін оларға құжаттар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"Мүгедектерді сурдо-тифлотехникалық және міндетті гигиеналық құралдармен қамтамасыз ету үшін оларға құжаттар ресімдеу" мемлекеттік қызмет регламенті (бұдан әрі - регламент) мүгедектерді сурдо-тифлотехникалық құралдармен және міндетті гигиеналық құралдармен қамтамасыз ету үшін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бөлімінің Ақтас кентіндегі өкілдігі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 бабы </w:t>
      </w:r>
      <w:r>
        <w:rPr>
          <w:rFonts w:ascii="Times New Roman"/>
          <w:b w:val="false"/>
          <w:i w:val="false"/>
          <w:color w:val="000000"/>
          <w:sz w:val="28"/>
        </w:rPr>
        <w:t>1 тармағы</w:t>
      </w:r>
      <w:r>
        <w:rPr>
          <w:rFonts w:ascii="Times New Roman"/>
          <w:b w:val="false"/>
          <w:i w:val="false"/>
          <w:color w:val="000000"/>
          <w:sz w:val="28"/>
        </w:rPr>
        <w:t>,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мүгедектерге сурдо-тифлотехникалық және міндетті гигиеналық құралдармен қамтамасыз ету үшін оларға құжаттарды рәсімдеу туралы қағаз жеткiзгiштегi хабарлама (бұдан әрi - хабарлама) не қызмет көрсетуден бас тарту туралы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мүгедектерiне;</w:t>
      </w:r>
      <w:r>
        <w:br/>
      </w:r>
      <w:r>
        <w:rPr>
          <w:rFonts w:ascii="Times New Roman"/>
          <w:b w:val="false"/>
          <w:i w:val="false"/>
          <w:color w:val="000000"/>
          <w:sz w:val="28"/>
        </w:rPr>
        <w:t>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 мүгедектеріне;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 сәйкес міндетті гигиеналық құралдарға мұқтаж мүгедектерге;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үзіліссіз 09.00-ден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09.00-ден бастап 19.00-ге дейін жұмыс кестесі бекітілген.</w:t>
      </w:r>
      <w:r>
        <w:br/>
      </w:r>
      <w:r>
        <w:rPr>
          <w:rFonts w:ascii="Times New Roman"/>
          <w:b w:val="false"/>
          <w:i w:val="false"/>
          <w:color w:val="000000"/>
          <w:sz w:val="28"/>
        </w:rPr>
        <w:t>
      Орталықтың жұмыс кестесі: 09.00-ден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09.00-ден бастап 19.00-ге дейін жұмыс кестесі бекітілген.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13.Тұтынушы мемлекеттiк қызметті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белгіленген үлгідегі куәліктің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тұлғалар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Құжаттар салыстырып тексеру үшiн түпнұсқада және көшiрмелері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Сурдо–тифлотехникалық және міндетті гигиеналық құралдармен қамтамасыз ету үшiн мүгедектерге құжаттарды ресiмдеу (ресiмдеуден бас тарту) туралы хабарламаны не бас тарту туралы дәлелдi жауапты жеткiзу:</w:t>
      </w:r>
      <w:r>
        <w:br/>
      </w:r>
      <w:r>
        <w:rPr>
          <w:rFonts w:ascii="Times New Roman"/>
          <w:b w:val="false"/>
          <w:i w:val="false"/>
          <w:color w:val="000000"/>
          <w:sz w:val="28"/>
        </w:rPr>
        <w:t>
      1) уәкiлеттi органға өтiнiш берген кезде тұрғылықты жерi бойынша уәкiлеттi органға тұтынушының өзiнiң келуi арқылы, не пошталық хабарлама арқылы;</w:t>
      </w:r>
      <w:r>
        <w:br/>
      </w:r>
      <w:r>
        <w:rPr>
          <w:rFonts w:ascii="Times New Roman"/>
          <w:b w:val="false"/>
          <w:i w:val="false"/>
          <w:color w:val="000000"/>
          <w:sz w:val="28"/>
        </w:rPr>
        <w:t>
      2) орталыққа өзi келiп өтiнiш берген кезде "терезе" арқылы күн сайын, қолхаттың негiзiнде онда көрсетiлген мерзiмде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сурдо-техникалық және міндетті гигиеналық құралдармен қамтамасыз етуді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xml:space="preserve">
тұлғалардың жауапкершілігі </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xml:space="preserve">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 </w:t>
      </w:r>
    </w:p>
    <w:bookmarkEnd w:id="12"/>
    <w:bookmarkStart w:name="z32" w:id="13"/>
    <w:p>
      <w:pPr>
        <w:spacing w:after="0"/>
        <w:ind w:left="0"/>
        <w:jc w:val="both"/>
      </w:pPr>
      <w:r>
        <w:rPr>
          <w:rFonts w:ascii="Times New Roman"/>
          <w:b w:val="false"/>
          <w:i w:val="false"/>
          <w:color w:val="000000"/>
          <w:sz w:val="28"/>
        </w:rPr>
        <w:t>
"Мүгедектерге сурдо–</w:t>
      </w:r>
      <w:r>
        <w:br/>
      </w:r>
      <w:r>
        <w:rPr>
          <w:rFonts w:ascii="Times New Roman"/>
          <w:b w:val="false"/>
          <w:i w:val="false"/>
          <w:color w:val="000000"/>
          <w:sz w:val="28"/>
        </w:rPr>
        <w:t>
тифлотехникалық және</w:t>
      </w:r>
      <w:r>
        <w:br/>
      </w:r>
      <w:r>
        <w:rPr>
          <w:rFonts w:ascii="Times New Roman"/>
          <w:b w:val="false"/>
          <w:i w:val="false"/>
          <w:color w:val="000000"/>
          <w:sz w:val="28"/>
        </w:rPr>
        <w:t>
міндетті гигиеналық</w:t>
      </w:r>
      <w:r>
        <w:br/>
      </w:r>
      <w:r>
        <w:rPr>
          <w:rFonts w:ascii="Times New Roman"/>
          <w:b w:val="false"/>
          <w:i w:val="false"/>
          <w:color w:val="000000"/>
          <w:sz w:val="28"/>
        </w:rPr>
        <w:t>
құралдармен қамтамасыз</w:t>
      </w:r>
      <w:r>
        <w:br/>
      </w:r>
      <w:r>
        <w:rPr>
          <w:rFonts w:ascii="Times New Roman"/>
          <w:b w:val="false"/>
          <w:i w:val="false"/>
          <w:color w:val="000000"/>
          <w:sz w:val="28"/>
        </w:rPr>
        <w:t>
ету үшін оларға құжаттар</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"Мүгедектерге сурдо-тифлотехникалық және міндетті гигиеналық құралдармен қамтамасыз ету үшін оларға құжаттар ресімдеу"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4"/>
        <w:gridCol w:w="2966"/>
        <w:gridCol w:w="1940"/>
      </w:tblGrid>
      <w:tr>
        <w:trPr>
          <w:trHeight w:val="30" w:hRule="atLeast"/>
        </w:trPr>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 электронды мекенжайы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12 кабинет</w:t>
            </w:r>
            <w:r>
              <w:br/>
            </w:r>
            <w:r>
              <w:rPr>
                <w:rFonts w:ascii="Times New Roman"/>
                <w:b w:val="false"/>
                <w:i w:val="false"/>
                <w:color w:val="000000"/>
                <w:sz w:val="20"/>
              </w:rPr>
              <w:t>
</w:t>
            </w:r>
            <w:r>
              <w:rPr>
                <w:rFonts w:ascii="Times New Roman"/>
                <w:b w:val="false"/>
                <w:i w:val="false"/>
                <w:color w:val="000000"/>
                <w:sz w:val="20"/>
              </w:rPr>
              <w:t>otspn@ rambler.ru</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25076</w:t>
            </w:r>
          </w:p>
        </w:tc>
      </w:tr>
      <w:tr>
        <w:trPr>
          <w:trHeight w:val="30" w:hRule="atLeast"/>
        </w:trPr>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Саран қаласындағы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saran-2012@mail.ru</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50309</w:t>
            </w:r>
          </w:p>
        </w:tc>
      </w:tr>
      <w:tr>
        <w:trPr>
          <w:trHeight w:val="30" w:hRule="atLeast"/>
        </w:trPr>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Саран қаласындағы бөлімінің Ақтас кентіндегі өкілдігі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saran-2012@mail.ru</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5-50-34</w:t>
            </w:r>
          </w:p>
        </w:tc>
      </w:tr>
    </w:tbl>
    <w:bookmarkStart w:name="z34" w:id="15"/>
    <w:p>
      <w:pPr>
        <w:spacing w:after="0"/>
        <w:ind w:left="0"/>
        <w:jc w:val="both"/>
      </w:pPr>
      <w:r>
        <w:rPr>
          <w:rFonts w:ascii="Times New Roman"/>
          <w:b w:val="false"/>
          <w:i w:val="false"/>
          <w:color w:val="000000"/>
          <w:sz w:val="28"/>
        </w:rPr>
        <w:t>
"Мүгедектерге сурдо–</w:t>
      </w:r>
      <w:r>
        <w:br/>
      </w:r>
      <w:r>
        <w:rPr>
          <w:rFonts w:ascii="Times New Roman"/>
          <w:b w:val="false"/>
          <w:i w:val="false"/>
          <w:color w:val="000000"/>
          <w:sz w:val="28"/>
        </w:rPr>
        <w:t>
тифлотехникалық және</w:t>
      </w:r>
      <w:r>
        <w:br/>
      </w:r>
      <w:r>
        <w:rPr>
          <w:rFonts w:ascii="Times New Roman"/>
          <w:b w:val="false"/>
          <w:i w:val="false"/>
          <w:color w:val="000000"/>
          <w:sz w:val="28"/>
        </w:rPr>
        <w:t>
міндетті гигиеналық</w:t>
      </w:r>
      <w:r>
        <w:br/>
      </w:r>
      <w:r>
        <w:rPr>
          <w:rFonts w:ascii="Times New Roman"/>
          <w:b w:val="false"/>
          <w:i w:val="false"/>
          <w:color w:val="000000"/>
          <w:sz w:val="28"/>
        </w:rPr>
        <w:t>
құралдармен қамтамасыз</w:t>
      </w:r>
      <w:r>
        <w:br/>
      </w:r>
      <w:r>
        <w:rPr>
          <w:rFonts w:ascii="Times New Roman"/>
          <w:b w:val="false"/>
          <w:i w:val="false"/>
          <w:color w:val="000000"/>
          <w:sz w:val="28"/>
        </w:rPr>
        <w:t>
ету үшін оларға құжаттар</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w:t>
      </w:r>
      <w:r>
        <w:br/>
      </w:r>
      <w:r>
        <w:rPr>
          <w:rFonts w:ascii="Times New Roman"/>
          <w:b/>
          <w:i w:val="false"/>
          <w:color w:val="000000"/>
        </w:rPr>
        <w:t>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3037"/>
        <w:gridCol w:w="2584"/>
        <w:gridCol w:w="45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4586"/>
        <w:gridCol w:w="5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2970"/>
        <w:gridCol w:w="2947"/>
        <w:gridCol w:w="3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713"/>
        <w:gridCol w:w="2493"/>
        <w:gridCol w:w="2593"/>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мемлекеттік қызмет көрсетуден бас тарту туралы дәлелді жауапты дайындау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немесе хабарламаға қол қою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тапсыру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"Мүгедектерге сурдо–</w:t>
      </w:r>
      <w:r>
        <w:br/>
      </w:r>
      <w:r>
        <w:rPr>
          <w:rFonts w:ascii="Times New Roman"/>
          <w:b w:val="false"/>
          <w:i w:val="false"/>
          <w:color w:val="000000"/>
          <w:sz w:val="28"/>
        </w:rPr>
        <w:t>
тифлотехникалық және</w:t>
      </w:r>
      <w:r>
        <w:br/>
      </w:r>
      <w:r>
        <w:rPr>
          <w:rFonts w:ascii="Times New Roman"/>
          <w:b w:val="false"/>
          <w:i w:val="false"/>
          <w:color w:val="000000"/>
          <w:sz w:val="28"/>
        </w:rPr>
        <w:t>
міндетті гигиеналық</w:t>
      </w:r>
      <w:r>
        <w:br/>
      </w:r>
      <w:r>
        <w:rPr>
          <w:rFonts w:ascii="Times New Roman"/>
          <w:b w:val="false"/>
          <w:i w:val="false"/>
          <w:color w:val="000000"/>
          <w:sz w:val="28"/>
        </w:rPr>
        <w:t>
құралдармен қамтамасыз</w:t>
      </w:r>
      <w:r>
        <w:br/>
      </w:r>
      <w:r>
        <w:rPr>
          <w:rFonts w:ascii="Times New Roman"/>
          <w:b w:val="false"/>
          <w:i w:val="false"/>
          <w:color w:val="000000"/>
          <w:sz w:val="28"/>
        </w:rPr>
        <w:t>
ету үшін оларға құжаттар</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жүгінген кезде:</w:t>
      </w:r>
    </w:p>
    <w:bookmarkEnd w:id="20"/>
    <w:p>
      <w:pPr>
        <w:spacing w:after="0"/>
        <w:ind w:left="0"/>
        <w:jc w:val="both"/>
      </w:pPr>
      <w:r>
        <w:drawing>
          <wp:inline distT="0" distB="0" distL="0" distR="0">
            <wp:extent cx="69342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68072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2) орталыққа жүгінген кезде:</w:t>
      </w:r>
    </w:p>
    <w:bookmarkEnd w:id="21"/>
    <w:p>
      <w:pPr>
        <w:spacing w:after="0"/>
        <w:ind w:left="0"/>
        <w:jc w:val="both"/>
      </w:pPr>
      <w:r>
        <w:drawing>
          <wp:inline distT="0" distB="0" distL="0" distR="0">
            <wp:extent cx="72898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905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