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8310" w14:textId="7008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желтоқсандағы № 292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6 қарашадағы № 66 шешімі. Ақтөбе облысының Әділет департаментінде 2012 жылғы 13 қарашада № 3431 тіркелді. Қолданылу мерзімінің аяқталуына байланысты күші жойылды - Ақтөбе облысы Темір аудандық мәслихатының 2013 жылғы 2 мамырдағы № 99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Темір аудандық мәслихатының 02.05.2013 № 99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бабтарына сәйкес Темір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жылғы 21 желтоқсандағы № 292 «2012-2014 жылдарға арналған аудандық бюджет туралы» (нормативтік құқықтық кесімдерді мемлекеттік тіркеу тізілімінде № 3-10-154 санымен тіркелген, «Темір» газетінің 2012 жылғы 20 қаңтарда № 3-4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«4 411 511,6» саны «4 412 569,5» санымен ауыстырылсын, оның ішінде:</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«3 436» саны «6 936» санымен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«2 152 341,6» саны «2 149 899,5»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«4 427 718,6» саны «4 428 776,5»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«16 484» саны «29 784» санымен ауыстырылсын, оның ішінде:</w:t>
      </w:r>
      <w:r>
        <w:br/>
      </w:r>
      <w:r>
        <w:rPr>
          <w:rFonts w:ascii="Times New Roman"/>
          <w:b w:val="false"/>
          <w:i w:val="false"/>
          <w:color w:val="000000"/>
          <w:sz w:val="28"/>
        </w:rPr>
        <w:t>
      бюджеттік кредиттер бойынша</w:t>
      </w:r>
      <w:r>
        <w:br/>
      </w:r>
      <w:r>
        <w:rPr>
          <w:rFonts w:ascii="Times New Roman"/>
          <w:b w:val="false"/>
          <w:i w:val="false"/>
          <w:color w:val="000000"/>
          <w:sz w:val="28"/>
        </w:rPr>
        <w:t>
      «19 416» саны «32 716»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«-32 691» саны «-45 991»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«32 691» саны «45 991»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«10 428» саны «11 228» санымен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«7 433» саны «6 723»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«6 094» саны «7 942,7» санымен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«19 416» саны «32 716»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«44 100» саны «42 386» санымен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«189 267» саны «203 253»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«99 835» саны «95 623,2» санымен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«36 591» саны «16 409» санымен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«7 500» саны «7 241» санымен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«20 691,6» саны «28 691,6»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ДӘНДІБАЕВ                        Н. ӨТЕПОВ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қарашадағы</w:t>
      </w:r>
      <w:r>
        <w:br/>
      </w:r>
      <w:r>
        <w:rPr>
          <w:rFonts w:ascii="Times New Roman"/>
          <w:b w:val="false"/>
          <w:i w:val="false"/>
          <w:color w:val="000000"/>
          <w:sz w:val="28"/>
        </w:rPr>
        <w:t>
№ 66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292 шешіміне № 1 қосымша</w:t>
      </w:r>
    </w:p>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53"/>
        <w:gridCol w:w="725"/>
        <w:gridCol w:w="7994"/>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4 412 569,5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2262670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2249045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1854399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1807987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4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2149899,5</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2149899,5</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2149899,5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77"/>
        <w:gridCol w:w="869"/>
        <w:gridCol w:w="805"/>
        <w:gridCol w:w="6926"/>
        <w:gridCol w:w="2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4 428 776,5</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259535,9</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54195</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54151</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143860</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23823,9</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23823,9</w:t>
            </w:r>
          </w:p>
        </w:tc>
      </w:tr>
      <w:tr>
        <w:trPr>
          <w:trHeight w:val="11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18675,6</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11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w:t>
            </w:r>
          </w:p>
        </w:tc>
      </w:tr>
      <w:tr>
        <w:trPr>
          <w:trHeight w:val="14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10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2965318,7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182724</w:t>
            </w:r>
          </w:p>
        </w:tc>
      </w:tr>
      <w:tr>
        <w:trPr>
          <w:trHeight w:val="8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балалардың білім беру ұйымдары, кәмелеттік жасқа толмағандарды бейімдеу орталықтары, мектеп интернаттарының, балабақшалардың, шағын орталықтардың тәрбиешілеріне біліктілік санаты үшін қосымша ақының мөлшерін ұлғайту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1864984,7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1864984,7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1772976,7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бастауыш, негізгі, орта, орта білім мекемелерінің мұғалімдеріне: мектептер, мектеп интернаттар (жалпы үлгідегі, арнайы (түзету) дарынды балалар үшін мамандандырылған, жетім балалар мен ата-аналарының қамқорынсыз қалған балалардың білім ұйымдарына) біліктілік санаты үшін қосымша ақының мөлшерін ұлғайту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526210,6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193854,6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193854,6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240003,9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239503,9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120457,9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104915,9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5"/>
        <w:gridCol w:w="1706"/>
        <w:gridCol w:w="6871"/>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805"/>
        <w:gridCol w:w="784"/>
        <w:gridCol w:w="6968"/>
        <w:gridCol w:w="2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- 45 991 </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85"/>
        <w:gridCol w:w="1706"/>
        <w:gridCol w:w="6913"/>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91"/>
        <w:gridCol w:w="827"/>
        <w:gridCol w:w="762"/>
        <w:gridCol w:w="7011"/>
        <w:gridCol w:w="2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64"/>
        <w:gridCol w:w="1709"/>
        <w:gridCol w:w="6968"/>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