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dc23" w14:textId="03cd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да бейбіт жиналыстар, митингілер, шерулер, пикеттер мен демонстрациялар өткізу тәртібін қосымша регламен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2 жылғы 21 желтоқсандағы № 56 шешімі. Ақтөбе облысы Әділет департаментінде 2013 жылғы 14 қаңтарда № 3492 тіркелді. Күші жойылды - Ақтөбе облысы Мұғалжар аудандық мәслихатының 2016 жылғы 12 сәуірдегі № 1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Мұғалжар аудандық мәслихатының 12.04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30 тамыздағ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3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біт жиналыстар, митингілер, шерулер, пикеттер мен демонстрациялар өткізу тәртібін қосымша регламенттеу мақсатында Мұғалжар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ұғалжар ауданы аумағында бейбіт жиналыстар, митингілер, шерулер, пикеттер мен демонстрациялар өткізу үшін келесі орынд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ндыағаш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өбеэнергомұнай" басқармасы ғимараты жанындағы ала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әкен Сейфуллин көшесі мен "Жеңіс" даңғылы қиылысындағы ала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мбі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қ стади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м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лық мәдениет үйі ғимараты жанындағы ала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Мұ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