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1b74" w14:textId="72f1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денсаулық сақтау, білім беру, әлеуметтік қамсыздандыру, мәдениет, спорт және ветеринария мамандарына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2012 жылғы 25 сәуірдегі № 17 шешімі. Ақтөбе облысы Әділет департаментінде 2012 жылғы 15 мамырда № 3-7-147 тіркелді. Қолданылу мерзімінің аяқталуына байланысты күші жойылды - (Ақтөбе облысы Қобда аудандық мәслихатының аппаратының 2013 жылғы 15 ақпандағы № 5-05/19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(Ақтөбе облысы Қобда аудандық мәслихатының аппаратының 15.02.2013 № 5-05/19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шілдесіндегі № 66 "Агроөнеркәсіптік кешенді және ауылдық аумақтарды дамытуды мемлекеттік реттеу туралы"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«Ауылдық елді мекендерге жұмыс істеу және тұру үшін келген денсаулық сақтау, білім беру, әлеуметтік қамсыздандыру, мәдениет және спорт мамандарына әлеуметтік қолдау шараларын ұсыну мөлшерін және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Қобда ауданының ауылдық елді мекендеріне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қолдаудың келесі түрлері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 мөлшерінде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алу немесе салу үшін бір мың бес жүз еселік айлық есептік көрсеткіштен аспайтын сомада бюджеттік несие.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Б.О.Елеусіноваға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 ресми жарияланған күнінен кейін күнтізбелік он күн өткен соң қолданысқа енгізіледі.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 мәслихаттың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Г.БАЛГАРИНА                      Л.ИСМАҒАМБЕТОВА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