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aa79" w14:textId="2a0a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денсаулық сақтау, білім беру, әлеуметтік қамсыздандыру, мәдениет, спорт және ветеринария мамандарына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2012 жылғы 27 маусымдағы № 25 шешімі. Ақтөбе облысының Әділет департаментінде 2012 жылғы 16 шілдеде № 3-5-163 тіркелді. Қолданылу мерзімінің аяқталуына байланысты күші жойылды - (Ақтөбе облысы Ырғыз аудандық мәслихатының 2013 жылғы 7 наурыздағы № 42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(Ақтөбе облысы Ырғыз аудандық мәслихатының 07.03.2013 № 42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шілдесіндегі № 66 «Агроөнеркәсіптік кешенді және ауылдық аумақтарды дамытуды мемлекеттік реттеу туралы»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Ырғыз ауданының ауылдық елді мекендеріне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қолдаудың келесі түрлері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 мөлшерінде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алу немесе салу үшін бір мың бес жүз еселік айлық есептік көрсеткіштен аспайтын сомада бюджеттік несие.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қаржы, бюджет және аумақты дамыту бағдарламалары жөніндегі тұрақты комиссиясының төрағасы В.Машинаға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сессиясының төрағасы:   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В. Машина                           К. Қосаяқов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