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394f" w14:textId="8583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ауылдық елді мекендеріне 2012 жылы  жұмыс істеу және тұру үшін келген денсаулық сақтау, білім беру, әлеуметтік қамсыздандыру, мәдениет, спорт және ветеринария мамандарына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2012 жылғы 28 наурыздағы № 13 шешімі. Ақтөбе облысының Әділет департаментінде 2012 жылғы 9 сәуірде № 3-4-145 тіркелді. Орындау мерзімі аяқталуына байланысты күші жойылды - Ақтөбе облысы Байғанин аудандық мәслихатының 2013 жылғы 17 қаңтардағы № 04-13/13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Орындау мерзімі аяқталуына байланысты күші жойылды - Ақтөбе облысы Байғанин аудандық мәслихатының 2013.01.17 № 04-13/13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шілдесіндегі № 66 "Агроөнеркәсіптік кешенді және ауылдық аумақтарды дамытуды мемлекеттік реттеу туралы"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ауылдық елді мекендеріне 2012 жылы жұмыс істеу және тұру үшін келген денсаулық сақтау, білім беру, әлеуметтік қамсыздандыру, мәдениет, спорт және ветеринария мамандарына: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арыз берген кезінде жетпіс еселік айлық есептік көрсеткіш мөлшерінде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 мың бес жүз еселік айлық есептік көрсеткіштен аспайтын сомада бюджеттік несие түрінде тұрғын үй алу үшін әлеуметтік қолдау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 күнінен кейiн күнтiзбелiк он күн өткен соң қолданысқа енгiзiледі.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 М. Жұмағазы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 Б.Турлыбаев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