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7e6" w14:textId="84b9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мен демонстрациялар өткізу тәртібін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2012 жылғы 22 қарашадағы № 90 шешімі. Ақтөбе облысы Әділет департаментінде 2012 жылғы 23 қарашада № 3450 тіркелді. Күші жойылды - Ақтөбе облысы Ақтөбе қалалық мәслихатының 2016 жылғы 8 сәуірдегі № 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қалалық мәслихатының 08.04.2016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мен демонстрациялар өткізу тәртібін қосымша регламенттеу мақсатында, Ақтөбе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қаласы аумағында бейбіт жиналыстар, митингілер, шерулер, пикеттер мен демонстрациялар өткізу үшін келесі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селосында орналасқан қалалық "Геолог" мәдениет Үйі ғимараты жанындағы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Кенес Нокин атындағы ауылдың демалыс саябағы;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Сазды қалалық мәдениет Үйі ғимараты жанындағы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А.Самойленко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