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7664" w14:textId="1fc7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Бурабай ауданында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2012 жылғы 24 ақпандағы № А-2/106 қаулысы. Ақмола облысы Бурабай ауданының Әділет басқармасында 2012 жылғы 7 наурызда № 1-19-222 тіркелді. Күші жойылды - Ақмола облысы Бурабай ауданы әкімдігінің 2012 жылғы 24 мамырдағы № А-5/282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ауданы әкімдігінің 2012.05.24 № А-5/282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бекiтiлген, Әлеуметтік жұмыс орындарын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бағдарламасына,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қамтуға жәрдемдесудің белсенді шараларына қатысатын адамдардарды оқытуды, олардың жұмысқа орналасуына жәрдемдесуді және оларға мемелекеттік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жұмыссыздық деңгейін төмендету мақсатында, Бурабай ауданының әкімдігі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ауданында 2012 жылға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Аймақтық еңбек нарығының қажеттігіне сәйкес республикалық бюджеттен өтемақы ұсынумен әлеуметтік жұмыс орындарын ұйымдастыратын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Аймақтық еңбек нарығының қажеттігіне сәйкес аудандық бюджеттен өтемақы ұсынумен әлеуметтік жұмыс орындарын ұйымдастыратын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М.Б. 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«Оқжетпес» емдеу-сауықтыру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кешені»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қоғамы президенті                          Е.Сәрсебеков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а-2/106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Аймақтық еңбек нарығының қажеттігіне сәйкес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өтемақы ұсынумен</w:t>
      </w:r>
      <w:r>
        <w:br/>
      </w:r>
      <w:r>
        <w:rPr>
          <w:rFonts w:ascii="Times New Roman"/>
          <w:b/>
          <w:i w:val="false"/>
          <w:color w:val="000000"/>
        </w:rPr>
        <w:t>
әлеуметтік жұмыс орындарын ұйымдастырған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2649"/>
        <w:gridCol w:w="2716"/>
        <w:gridCol w:w="1232"/>
        <w:gridCol w:w="878"/>
        <w:gridCol w:w="1033"/>
        <w:gridCol w:w="1463"/>
        <w:gridCol w:w="1352"/>
        <w:gridCol w:w="1242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аталуы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(қызметі)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жұмыс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саны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 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көлемі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Өтемақының мөлшері теңгеде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 6-ай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інгі 3-ай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42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«Оқжетпес» емдеу – сауықтыру кешені акционерлік қоғамы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сусынханашы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матрос-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өсіруші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нұсқаушысы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 аудармашысы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«Арқа санаторийі» акционерлік қоғамы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риялы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күтушісі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 бойынша менеджер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Буланов С.А.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Газезов С.К.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қамыршы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Грюнвальд В.В.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пластикалық терезелердің жинаушысы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Жалба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гаева Г.А.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тағам дайындайтын маман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Жуков Р.Н.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Жукова Е.И.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 әйел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пішпеші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өлшеуші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Зенченко М. В.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Канафина А.Ж.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сусынханашы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Каражанов А.А.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Концевая Е.В.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маникюр шебері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Маслов Е.Г.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жинаушысы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Омаров С.Б.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Пашинский В.А.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менеджері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әрлендіруші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Савицкий И.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пішпеші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жинаушысы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Сатыбаев Т.Б.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Серебрякова Н.А.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сусынханашы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Турсунова Ж.К. «Алмаз» отелі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демалушылардың бос уақыт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Шафиров С.Л.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әрлендіруші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пішпеші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С.И. Демченко шаруа қожалығы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Н.Н. Коваленко шаруа қожалығы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«Дастан» шаруа қожалығы Кулаг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 З.Т.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8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Н.Ж. Садыков шаруа қожалығы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ұстасы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9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«Дулат» шаруа қожалығы Ахметов Д.С.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«Айғабақ» жауапкер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серіктестігі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қоймасының қызметкері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«АртуКазахстан» 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кершілігі шектеулі 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бойынша маман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Бурабай» жауапкерші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сусынханашы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12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«Турист» жауапкерші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экскурсия жетекшісі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Құрылыс» жауапкерші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балташы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А-2/106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Аймақтық еңбек нарығының қажеттігіне сәйкес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бюджеттен өтемақы ұсынумен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040"/>
        <w:gridCol w:w="3521"/>
        <w:gridCol w:w="1421"/>
        <w:gridCol w:w="1226"/>
        <w:gridCol w:w="1032"/>
        <w:gridCol w:w="1292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берушунің аталуы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(қызметі)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Ұймдастыры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жұмыс орындарының саны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 ақысының көле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 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өтеудің ұзақтығы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Өтемақының мөл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 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«Саңырауарлардың қазақ қоғамы» қоғамдық бірлестігінің «Щучинск оқу-өндірістік кәсіпорыны» мекемесі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«Бытовик» пәтер иелерінің кооперативі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«Экосервис Бурабай» жауапкершілігі шектеулі серіктестігі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Канафина А.Ж.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сусынханашы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күтушісі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Сулейменова К.Ж.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жұмысшы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Серебрякова Г.А.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жұмысшы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