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16ce" w14:textId="fdf1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ауданында 2012 жылы қоғамдық жұмыстардың ұйымдастырылуы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2012 жылғы 24 қаңтардағы № 08 қаулысы. Ақмола облысы Қорғалжын ауданының Әділет басқармасында 2012 жылғы 27 ақпанда № 1-15-175 тіркелді. Қолданылу мерзімінің аяқталуына байланысты қаулының күші жойылды - Ақмола облысы Қорғалжын ауданы әкімдігінің 2013 жылғы 10 сәуірдегі № 665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Қорғалжын ауданы әкімдігінің 10.04.2013 № 665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ауданында 2012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2012 жылғы Қорғалжын ауданының қоғамдық жұмыстар жүргізілетін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сұранысы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Қорғалжын ауданының әкімі                        Д.Хамитжанов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Қорғалжын ауданы бойынша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 жүргізілетін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 көзі,</w:t>
      </w:r>
      <w:r>
        <w:br/>
      </w:r>
      <w:r>
        <w:rPr>
          <w:rFonts w:ascii="Times New Roman"/>
          <w:b/>
          <w:i w:val="false"/>
          <w:color w:val="000000"/>
        </w:rPr>
        <w:t>
сұранысы және ұсыныстары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314"/>
        <w:gridCol w:w="4551"/>
        <w:gridCol w:w="1842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 округі әкімінің аппараты» мемлекеттік мекемесі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 шаршы метр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«Арықты ауылдық округі әкімінің аппараты» мемлекеттік мекемесі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 шаршы метр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«Қарашалғын ауылдық округі әкімінің аппараты» мемлекеттік мекемесі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 шаршы метр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«Кенбидайық ауылдық округі әкімінің аппараты» мемлекеттік мекемесі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 шаршы метр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ауылдық округі әкімінің аппараты» мемлекеттік мекемесі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 шаршы метр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«Қорғалжын ауылдық округі әкімінің аппараты» мемлекеттік мекемесі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 шаршы метр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«Коммуна ауылдық округі әкімінің аппараты» мемлекеттік мекемесі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 шаршы метр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«Сабынды ауылдық округі әкімінің аппараты» мемлекеттік мекемесі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 шаршы метр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 шаруашылық жүргізу құқығына негізделген «Өрлеу» мемлекеттік коммуналдық кәсіпорны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53"/>
        <w:gridCol w:w="3259"/>
        <w:gridCol w:w="3216"/>
        <w:gridCol w:w="2662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 төленетін төлем мөлшері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мөлшердегі жалақы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