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92f" w14:textId="c30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білім беру, әлеуметтік қамсыздандыру және мәдениет мамандарының лауазымдық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4 сәуірдегі № А-4/201 қаулысы. Ақмола облысы Жарқайың ауданының Әділет басқармасында 2012 жылғы 23 сәуірде № 1-12-168 тіркелді. Күші жойылды - Ақмола облысы Жарқайың ауданы әкімдігінің 2014 жылғы 1 сәуірдегі № А-4/73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01.04.2014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«Ауылдық (селолық) жерде жұмыс істейтін білім беру, әлеуметтік қамсыздандыру және мәдениет мамандарының лауазымдық тізбесімен келісу туралы» Жарқайың аудандық мәслихатының 2012 жылғы 6 наурыздағы № 5С-2/3 шешіміне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білім беру, әлеуметтік қамсыздандыру және мәдениет мамандарының лауазымдық тізбесі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Жарқайың ауданы әкімдігінің 2008 жылғы 29 желтоқсандағы № А-13/382 «Ауылдық (селолық) жерлерде жұмыс істейтін мамандардың лауазымдық тізбесін анықтау туралы» (нормативтік құқықтық актілерді мемлекеттік тіркеу Тізілімінде № 1-12-104 тіркелген, 2009 жылдың 6 ақпанында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сәуірде № А-4/201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жерде жұмыс істейтін білім беру, әлеуметтік қамсыздандыру және мәдениет мамандарының лауазымдық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Білім беру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мекеменің, қазыналық кәсіпорынның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оқытушы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мұғалім-логопед;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10)мұғалім-әдіскер;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диеталық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Әлеуметтік қамсыздандыру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Мәдениет мамандардың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клуб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кітапханашы.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