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23bf" w14:textId="83a2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ауданында 2013 жылы қоғамдық жұмыстардың ұйымдастырылуы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2012 жылғы 26 желтоқсандағы № А-12/348 қаулысы. Ақмола облысының Әділет департаментінде 2013 жылғы 29 қаңтарда № 3637 болып тіркелді. Қолданылу мерзімінің аяқталуына байланысты күші жойылды - (Ақмола облысы Егіндікөл ауданы әкімдігінің 2014 жылғы 6 қарашадағы № 1153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ауданы әкімдігінің 06.11.2014 қарашадағы № 1153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жұмысты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ауданында 2013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2013 жылғы Егіндікөл ауданының қоғамдық жұмыстар жүргiзiлетiн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еңбегіне төленетін ақының мөлшерi және оларды қаржыландыру көздерi бекiтiлсiн, сұранысы және ұсыныстары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З.Қ.Жұматоваға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Д.Жұрымбаев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А-12/348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Егіндікөл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 жүргізілетін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 мөлшері және</w:t>
      </w:r>
      <w:r>
        <w:br/>
      </w:r>
      <w:r>
        <w:rPr>
          <w:rFonts w:ascii="Times New Roman"/>
          <w:b/>
          <w:i w:val="false"/>
          <w:color w:val="000000"/>
        </w:rPr>
        <w:t>
оларды қаржыландыру көздері, сұранысы және ұсыныстары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3741"/>
        <w:gridCol w:w="3486"/>
        <w:gridCol w:w="2407"/>
        <w:gridCol w:w="1369"/>
        <w:gridCol w:w="1476"/>
      </w:tblGrid>
      <w:tr>
        <w:trPr>
          <w:trHeight w:val="12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4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Абай ауылы әкімі аппараты» мемлекеттік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шаршы метр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Алакөл ауылдық округі әкімінің аппараты» мемлекеттік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 шаршы метр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Спиридоновка ауылы әкімі аппараты» мемлекеттік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шаршы метр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Бауманское ауылы әкімі аппараты» мемлекеттік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 шаршы метр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Буревестник ауылы әкімі аппараты» мемлекеттік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Егіндікөл ауылы әкімі аппараты» мемлекеттік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 шаршы метр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7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Жалманқұлақ ауылдық округі әкімінің аппараты» мемлекеттік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шаршы метр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Қоржынкөл ауылы әкімі аппараты» мемлекеттік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шаршы метр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Ұзынкөл ауылдық округі әкімінің аппараты» мемлекеттік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шаршы метр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3"/>
        <w:gridCol w:w="3835"/>
        <w:gridCol w:w="4022"/>
      </w:tblGrid>
      <w:tr>
        <w:trPr>
          <w:trHeight w:val="825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1035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96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035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005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99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11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93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065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125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келісім шарт бойынша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