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adec" w14:textId="6bca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2011 жылғы 9 желтоқсандағы № 4С 40/2 "2012- 2014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2012 жылғы 4 желтоқсандағы № 5С 11/1 шешімі. Ақмола облысының Әділет департаментінде 2012 жылғы 11 желтоқсанда № 3525 тіркелді. Қолданылу мерзімінің аяқталуына байланысты күші жойылды - (Ақмола облысы Атбасар аудандық мәслихатының 2014 жылғы 4 қарашадағы № 194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Атбасар аудандық мәслихатының 04.11.2014 № 194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Атбасар аудандық мәслихатының 2011 жылғы 9 желтоқсандағы № 4С 40/2 «2012 – 2014 жылдарға арналған аудан бюджеті туралы» (нормативтік құқықтық актілерді мемлекеттік тіркеудің Тізілімінде № 1-5-173 тіркелген, 2012 жылғы 27 қаңтардағы «Атбасар», «Простор»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2012 – 2014 жылдарға арналған аудан бюджеті 1, 2 және 3 қосымшаларына сәйкес, оның ішінде 2012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3955866,5 мың теңге, оның ішінде:</w:t>
      </w:r>
      <w:r>
        <w:br/>
      </w:r>
      <w:r>
        <w:rPr>
          <w:rFonts w:ascii="Times New Roman"/>
          <w:b w:val="false"/>
          <w:i w:val="false"/>
          <w:color w:val="000000"/>
          <w:sz w:val="28"/>
        </w:rPr>
        <w:t>
      салықтық түсімдер бойынша – 863809,0 мың теңге;</w:t>
      </w:r>
      <w:r>
        <w:br/>
      </w:r>
      <w:r>
        <w:rPr>
          <w:rFonts w:ascii="Times New Roman"/>
          <w:b w:val="false"/>
          <w:i w:val="false"/>
          <w:color w:val="000000"/>
          <w:sz w:val="28"/>
        </w:rPr>
        <w:t>
      салықтық емес түсімдер бойынша – 37351,4 мың теңге;</w:t>
      </w:r>
      <w:r>
        <w:br/>
      </w:r>
      <w:r>
        <w:rPr>
          <w:rFonts w:ascii="Times New Roman"/>
          <w:b w:val="false"/>
          <w:i w:val="false"/>
          <w:color w:val="000000"/>
          <w:sz w:val="28"/>
        </w:rPr>
        <w:t>
      негізгі капиталды сатудан түсетін түсімдер бойынша – 37994,6 мың теңге;</w:t>
      </w:r>
      <w:r>
        <w:br/>
      </w:r>
      <w:r>
        <w:rPr>
          <w:rFonts w:ascii="Times New Roman"/>
          <w:b w:val="false"/>
          <w:i w:val="false"/>
          <w:color w:val="000000"/>
          <w:sz w:val="28"/>
        </w:rPr>
        <w:t>
      трансферттер түсімі бойынша – 3016711,5 мың теңге;</w:t>
      </w:r>
      <w:r>
        <w:br/>
      </w:r>
      <w:r>
        <w:rPr>
          <w:rFonts w:ascii="Times New Roman"/>
          <w:b w:val="false"/>
          <w:i w:val="false"/>
          <w:color w:val="000000"/>
          <w:sz w:val="28"/>
        </w:rPr>
        <w:t>
</w:t>
      </w:r>
      <w:r>
        <w:rPr>
          <w:rFonts w:ascii="Times New Roman"/>
          <w:b w:val="false"/>
          <w:i w:val="false"/>
          <w:color w:val="000000"/>
          <w:sz w:val="28"/>
        </w:rPr>
        <w:t>
      2) шығындар – 4025062,0 мың теңге;</w:t>
      </w:r>
      <w:r>
        <w:br/>
      </w:r>
      <w:r>
        <w:rPr>
          <w:rFonts w:ascii="Times New Roman"/>
          <w:b w:val="false"/>
          <w:i w:val="false"/>
          <w:color w:val="000000"/>
          <w:sz w:val="28"/>
        </w:rPr>
        <w:t>
      3) таза бюджеттік кредиттеу – 40985,0 мың теңге;</w:t>
      </w:r>
      <w:r>
        <w:br/>
      </w:r>
      <w:r>
        <w:rPr>
          <w:rFonts w:ascii="Times New Roman"/>
          <w:b w:val="false"/>
          <w:i w:val="false"/>
          <w:color w:val="000000"/>
          <w:sz w:val="28"/>
        </w:rPr>
        <w:t>
      бюджеттік кредиттер – 41614,0 мың теңге;</w:t>
      </w:r>
      <w:r>
        <w:br/>
      </w:r>
      <w:r>
        <w:rPr>
          <w:rFonts w:ascii="Times New Roman"/>
          <w:b w:val="false"/>
          <w:i w:val="false"/>
          <w:color w:val="000000"/>
          <w:sz w:val="28"/>
        </w:rPr>
        <w:t>
      бюджеттік кредиттерді өтеу – 629,0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(-110180,5)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110180,5 мың теңге;</w:t>
      </w:r>
      <w:r>
        <w:br/>
      </w:r>
      <w:r>
        <w:rPr>
          <w:rFonts w:ascii="Times New Roman"/>
          <w:b w:val="false"/>
          <w:i w:val="false"/>
          <w:color w:val="000000"/>
          <w:sz w:val="28"/>
        </w:rPr>
        <w:t>
      қарыздар түсімі – 36854,0 мың теңге;</w:t>
      </w:r>
      <w:r>
        <w:br/>
      </w:r>
      <w:r>
        <w:rPr>
          <w:rFonts w:ascii="Times New Roman"/>
          <w:b w:val="false"/>
          <w:i w:val="false"/>
          <w:color w:val="000000"/>
          <w:sz w:val="28"/>
        </w:rPr>
        <w:t>
      қарыздарды өтеу – 10129,0 мың теңге;</w:t>
      </w:r>
      <w:r>
        <w:br/>
      </w:r>
      <w:r>
        <w:rPr>
          <w:rFonts w:ascii="Times New Roman"/>
          <w:b w:val="false"/>
          <w:i w:val="false"/>
          <w:color w:val="000000"/>
          <w:sz w:val="28"/>
        </w:rPr>
        <w:t>
      бюджет қаражатының пайдаланылатын қалдықтары – 83455,5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«7. 2012 жылға арналған аудан бюджетінің шығыстар құрамында Атбасар қаласында 320 орынға балабақша құрылысына облыстық бюджеттен дамуға 280000,0 мың теңге сомада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«8. 2012 жылға арналған аудан бюджетінің шығыстар құрамында Атбасар қаласында жүзу бассейні мен спорттық модульдің құрылысына облыстық бюджеттен дамуға 120000,0 мың теңге сомада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«8-1. 2012 жылға арналған аудан бюджетінің шығыстар құрамында мемлекеттік коммуналдық тұрғын үй қорының тұрғын үйлерін жобалауға, салуға және (немесе) сатып алуға республикалық бюджеттен 33000,0 мың теңге сомада нысаналы даму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«9. 2012 жылға арналған аудан бюджетінің шығыстар құрамында мамандарды әлеуметтік қолдау бойынша шараларды жүзеге асыруға республикалық бюджеттен 2226,0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«11. 2012 жылға арналған аудан бюджетінің шығыстар құрамында тұрғын үй көмегiн көрсетуге республикалық бюджеттен 834,0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«12. 2012 жылға арналған аудан бюджетінің шығыстар құрамында жалақының ішінара субсидиялануға, қоныс аударуға субсидия беруге, халықты жұмыспен қамту орталықтарының қызметiн қамтамасыз етуге және жастар тәжiрибесiне республикалық бюджеттен 23565,8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«13. 2012 жылға арналған аудан бюджетінің шығыстар құрамында Ұлы Отан соғысына қатысқандарға және оның мүгедектеріне коммуналдық қызметтер шығындарына әлеуметтік көмек көрсетуге облыстық бюджеттен 2447,0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«14. 2012 жылға арналған аудан бюджетінің шығыстар құрамында Ақмола облысының аз қамтылған отбасыларының және Ақмола облысының селолық (ауылдық) жерлердегі көп балалы отбасыларының колледждерде оқитын студенттерінің оқу ақысын төлеуге облыстық бюджеттен 2287,7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«16. 2012 жылға арналған аудан бюджетінің шығыстар құрамында мектепке дейінгі білім беру ұйымдарында мемлекеттік білім беру тапсырысын жүзеге асыруға республикалық бюджеттен 75737,0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«17. 2012 жылға арналған аудан бюджетінің шығыстар құрамында негізгі орта және жалпы орта білім беретін мемлекеттік мекемелердегі физика, химия, биология кабинеттерін оқу жабдығымен жарақтандыруға республикалық бюджеттен 12282,0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«20-1. 2012 жылға арналған аудан бюджетінің шығыстар құрамында «Назарбаев Зияткерлік мектептері» ДБҰ-ның оқу бағдарламалары бойынша біліктілікті арттырудан өткен мұғалімдерге еңбекақыны көтеруге республикалық бюджеттен 1274,0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21-3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«21-3. 2012 жылға арналған аудан бюджетінің шығыстар құрамында Атбасар қаласының Балалар музыкалық мектебінің ғимаратын күрделі жөндеуіне облыстық бюджеттен 21323,1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«22. 2012 жылға арналған аудан бюджетінің құрамында кондоминиум объектілерінің жалпы мүлкіне жөндеу жүргізуге республикалық бюджеттен 32000,0 мың теңге сомада бюджеттік кредит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«24. 2012 жылға арналған аудан бюджетінің құрамында мамандарды әлеуметтік қолдау шараларын іске асыру үшін 2010 және 2011 жылдары бөлінген бюджеттік кредиттер бойынша 629,0 мың теңге сомада негізгі қарыздарды өтеу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24-3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24-3. 2012 жылға арналған аудан бюджетінде кондоминиумның объектілерінің жалпы мүлкіне жөндеу жүргізуге берілген бюджеттік кредит бойынша республикалық бюджеттен 23,7 мың теңге сомада сыйақы қарастырылғаны ескерілсін.</w:t>
      </w:r>
      <w:r>
        <w:br/>
      </w:r>
      <w:r>
        <w:rPr>
          <w:rFonts w:ascii="Times New Roman"/>
          <w:b w:val="false"/>
          <w:i w:val="false"/>
          <w:color w:val="000000"/>
          <w:sz w:val="28"/>
        </w:rPr>
        <w:t>
</w:t>
      </w:r>
      <w:r>
        <w:rPr>
          <w:rFonts w:ascii="Times New Roman"/>
          <w:b w:val="false"/>
          <w:i w:val="false"/>
          <w:color w:val="000000"/>
          <w:sz w:val="28"/>
        </w:rPr>
        <w:t>
      Атбасар аудандық мәслихатының «2012-2014 жылдарға арналған аудан бюджеті туралы» 2011 жылғы 9 желтоқсандағы № 4С 40/2 шешіміне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2012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Безверхова Н.А.</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 әкімі                    Е.Сағдиев</w:t>
      </w:r>
    </w:p>
    <w:bookmarkStart w:name="z42" w:id="1"/>
    <w:p>
      <w:pPr>
        <w:spacing w:after="0"/>
        <w:ind w:left="0"/>
        <w:jc w:val="both"/>
      </w:pPr>
      <w:r>
        <w:rPr>
          <w:rFonts w:ascii="Times New Roman"/>
          <w:b w:val="false"/>
          <w:i w:val="false"/>
          <w:color w:val="000000"/>
          <w:sz w:val="28"/>
        </w:rPr>
        <w:t xml:space="preserve">
Атбасар аудандық     </w:t>
      </w:r>
      <w:r>
        <w:br/>
      </w:r>
      <w:r>
        <w:rPr>
          <w:rFonts w:ascii="Times New Roman"/>
          <w:b w:val="false"/>
          <w:i w:val="false"/>
          <w:color w:val="000000"/>
          <w:sz w:val="28"/>
        </w:rPr>
        <w:t xml:space="preserve">
мәслихатының 2012 жылғы </w:t>
      </w:r>
      <w:r>
        <w:br/>
      </w:r>
      <w:r>
        <w:rPr>
          <w:rFonts w:ascii="Times New Roman"/>
          <w:b w:val="false"/>
          <w:i w:val="false"/>
          <w:color w:val="000000"/>
          <w:sz w:val="28"/>
        </w:rPr>
        <w:t>
4 желтоқсандағы № 5С 11/1</w:t>
      </w:r>
      <w:r>
        <w:br/>
      </w:r>
      <w:r>
        <w:rPr>
          <w:rFonts w:ascii="Times New Roman"/>
          <w:b w:val="false"/>
          <w:i w:val="false"/>
          <w:color w:val="000000"/>
          <w:sz w:val="28"/>
        </w:rPr>
        <w:t xml:space="preserve">
шешіміне 1 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411"/>
        <w:gridCol w:w="265"/>
        <w:gridCol w:w="9515"/>
        <w:gridCol w:w="254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25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3 955 866,5</w:t>
            </w:r>
          </w:p>
        </w:tc>
      </w:tr>
      <w:tr>
        <w:trPr>
          <w:trHeight w:val="34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863 809,0</w:t>
            </w:r>
          </w:p>
        </w:tc>
      </w:tr>
      <w:tr>
        <w:trPr>
          <w:trHeight w:val="37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76 876,0</w:t>
            </w:r>
          </w:p>
        </w:tc>
      </w:tr>
      <w:tr>
        <w:trPr>
          <w:trHeight w:val="3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76 876,0</w:t>
            </w:r>
          </w:p>
        </w:tc>
      </w:tr>
      <w:tr>
        <w:trPr>
          <w:trHeight w:val="34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484 135,0</w:t>
            </w: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484 135,0</w:t>
            </w:r>
          </w:p>
        </w:tc>
      </w:tr>
      <w:tr>
        <w:trPr>
          <w:trHeight w:val="36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256 937,0</w:t>
            </w:r>
          </w:p>
        </w:tc>
      </w:tr>
      <w:tr>
        <w:trPr>
          <w:trHeight w:val="36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158 113,0</w:t>
            </w:r>
          </w:p>
        </w:tc>
      </w:tr>
      <w:tr>
        <w:trPr>
          <w:trHeight w:val="34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26 609,0</w:t>
            </w:r>
          </w:p>
        </w:tc>
      </w:tr>
      <w:tr>
        <w:trPr>
          <w:trHeight w:val="39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69 050,0</w:t>
            </w:r>
          </w:p>
        </w:tc>
      </w:tr>
      <w:tr>
        <w:trPr>
          <w:trHeight w:val="31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3 165,0</w:t>
            </w:r>
          </w:p>
        </w:tc>
      </w:tr>
      <w:tr>
        <w:trPr>
          <w:trHeight w:val="58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38 124,0</w:t>
            </w:r>
          </w:p>
        </w:tc>
      </w:tr>
      <w:tr>
        <w:trPr>
          <w:trHeight w:val="27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7 889,0</w:t>
            </w:r>
          </w:p>
        </w:tc>
      </w:tr>
      <w:tr>
        <w:trPr>
          <w:trHeight w:val="55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18 175,0</w:t>
            </w:r>
          </w:p>
        </w:tc>
      </w:tr>
      <w:tr>
        <w:trPr>
          <w:trHeight w:val="55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11 568,0</w:t>
            </w:r>
          </w:p>
        </w:tc>
      </w:tr>
      <w:tr>
        <w:trPr>
          <w:trHeight w:val="25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108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7 737,0</w:t>
            </w:r>
          </w:p>
        </w:tc>
      </w:tr>
      <w:tr>
        <w:trPr>
          <w:trHeight w:val="34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7 737,0</w:t>
            </w:r>
          </w:p>
        </w:tc>
      </w:tr>
      <w:tr>
        <w:trPr>
          <w:trHeight w:val="43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37 351,4</w:t>
            </w:r>
          </w:p>
        </w:tc>
      </w:tr>
      <w:tr>
        <w:trPr>
          <w:trHeight w:val="45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3 858,4</w:t>
            </w:r>
          </w:p>
        </w:tc>
      </w:tr>
      <w:tr>
        <w:trPr>
          <w:trHeight w:val="73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3 827,0</w:t>
            </w:r>
          </w:p>
        </w:tc>
      </w:tr>
      <w:tr>
        <w:trPr>
          <w:trHeight w:val="69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97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96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144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31 500,0</w:t>
            </w:r>
          </w:p>
        </w:tc>
      </w:tr>
      <w:tr>
        <w:trPr>
          <w:trHeight w:val="186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төлемдерді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31 500,0</w:t>
            </w: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1 870,0</w:t>
            </w:r>
          </w:p>
        </w:tc>
      </w:tr>
      <w:tr>
        <w:trPr>
          <w:trHeight w:val="36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1 870,0</w:t>
            </w:r>
          </w:p>
        </w:tc>
      </w:tr>
      <w:tr>
        <w:trPr>
          <w:trHeight w:val="27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37 994,6</w:t>
            </w:r>
          </w:p>
        </w:tc>
      </w:tr>
      <w:tr>
        <w:trPr>
          <w:trHeight w:val="52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6 665,0</w:t>
            </w:r>
          </w:p>
        </w:tc>
      </w:tr>
      <w:tr>
        <w:trPr>
          <w:trHeight w:val="54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6 665,0</w:t>
            </w:r>
          </w:p>
        </w:tc>
      </w:tr>
      <w:tr>
        <w:trPr>
          <w:trHeight w:val="28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31 329,6</w:t>
            </w:r>
          </w:p>
        </w:tc>
      </w:tr>
      <w:tr>
        <w:trPr>
          <w:trHeight w:val="27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31 329,6</w:t>
            </w:r>
          </w:p>
        </w:tc>
      </w:tr>
      <w:tr>
        <w:trPr>
          <w:trHeight w:val="27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3 016 711,5</w:t>
            </w:r>
          </w:p>
        </w:tc>
      </w:tr>
      <w:tr>
        <w:trPr>
          <w:trHeight w:val="55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3 016 711,5</w:t>
            </w:r>
          </w:p>
        </w:tc>
      </w:tr>
      <w:tr>
        <w:trPr>
          <w:trHeight w:val="3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3 016 711,5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01"/>
        <w:gridCol w:w="262"/>
        <w:gridCol w:w="1146"/>
        <w:gridCol w:w="7801"/>
        <w:gridCol w:w="25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1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4 025 062,0</w:t>
            </w:r>
          </w:p>
        </w:tc>
      </w:tr>
      <w:tr>
        <w:trPr>
          <w:trHeight w:val="375"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218 351,5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13 911,0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13 703,0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61 213,5</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61 117,3</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114 922,1</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113 402,1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28 304,9</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21 095,0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5 623,0</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2 198,0</w:t>
            </w:r>
          </w:p>
        </w:tc>
      </w:tr>
      <w:tr>
        <w:trPr>
          <w:trHeight w:val="705"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1 657,6</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1 657,6</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1 657,6</w:t>
            </w:r>
          </w:p>
        </w:tc>
      </w:tr>
      <w:tr>
        <w:trPr>
          <w:trHeight w:val="435"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2 219 937,6</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1 939 937,6</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7 927,0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1 687 698,0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56 168,0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20 674,0</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18 435,2</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1 342,2</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75 737,0</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1 274,0</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w:t>
            </w:r>
            <w:r>
              <w:br/>
            </w:r>
            <w:r>
              <w:rPr>
                <w:rFonts w:ascii="Times New Roman"/>
                <w:b w:val="false"/>
                <w:i w:val="false"/>
                <w:color w:val="000000"/>
                <w:sz w:val="20"/>
              </w:rPr>
              <w:t>
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31 708,1</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21 323,1</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280 000,0</w:t>
            </w:r>
          </w:p>
        </w:tc>
      </w:tr>
      <w:tr>
        <w:trPr>
          <w:trHeight w:val="42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126 873,2</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126 873,2</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18 374,2</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47 162,7</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2 183,2</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13 211,5</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11 689,0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12 554,6</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12 171,8</w:t>
            </w:r>
          </w:p>
        </w:tc>
      </w:tr>
      <w:tr>
        <w:trPr>
          <w:trHeight w:val="48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469 997,7</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91 444,0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91 444,0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270 665,0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беру жүйесін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227 665,0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25 643,0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7 058,0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16 790,0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82 245,7</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76 168,0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4 909,6</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r>
      <w:tr>
        <w:trPr>
          <w:trHeight w:val="105"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263 459,4</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110 875,3</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6 352,6</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60 273,1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40 700,5</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3 471,1</w:t>
            </w:r>
          </w:p>
        </w:tc>
      </w:tr>
      <w:tr>
        <w:trPr>
          <w:trHeight w:val="615" w:hRule="atLeast"/>
        </w:trPr>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15 485,9</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5 046,9</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16 848,2</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4 439,4</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8 120,8</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120 250,0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120 250,0</w:t>
            </w:r>
          </w:p>
        </w:tc>
      </w:tr>
      <w:tr>
        <w:trPr>
          <w:trHeight w:val="9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36 103,8</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18 532,1</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5 422,1</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15 345,7</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15 096,0</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w:t>
            </w:r>
          </w:p>
        </w:tc>
      </w:tr>
      <w:tr>
        <w:trPr>
          <w:trHeight w:val="69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17 600,4</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6 668,5</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6 668,5</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10 931,9</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4 931,9</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555"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35 032,1</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9 900,0</w:t>
            </w:r>
          </w:p>
        </w:tc>
      </w:tr>
      <w:tr>
        <w:trPr>
          <w:trHeight w:val="9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25 132,1</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25 132,1</w:t>
            </w:r>
          </w:p>
        </w:tc>
      </w:tr>
      <w:tr>
        <w:trPr>
          <w:trHeight w:val="39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576 212,8</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9 920,2</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7 079,2</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16 979,6</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16 979,6</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543 700,0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543 700,0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5 613,0</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5 367,0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8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05"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57 612,5</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57 612,5</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57 612,5</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40 985,0</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41 614,0</w:t>
            </w:r>
          </w:p>
        </w:tc>
      </w:tr>
      <w:tr>
        <w:trPr>
          <w:trHeight w:val="120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9 614,0</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9 614,0</w:t>
            </w:r>
          </w:p>
        </w:tc>
      </w:tr>
      <w:tr>
        <w:trPr>
          <w:trHeight w:val="375"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42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630"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активтерiн сатудан түсетiн түсiмдер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-110 180,5</w:t>
            </w:r>
          </w:p>
        </w:tc>
      </w:tr>
      <w:tr>
        <w:trPr>
          <w:trHeight w:val="8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110 180,5</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36 854,0</w:t>
            </w:r>
          </w:p>
        </w:tc>
      </w:tr>
      <w:tr>
        <w:trPr>
          <w:trHeight w:val="315"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36 854,0</w:t>
            </w:r>
          </w:p>
        </w:tc>
      </w:tr>
      <w:tr>
        <w:trPr>
          <w:trHeight w:val="465"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36 854,0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36 854,0</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10 129,0</w:t>
            </w:r>
          </w:p>
        </w:tc>
      </w:tr>
      <w:tr>
        <w:trPr>
          <w:trHeight w:val="345"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10 129,0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10 129,0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83 455,5</w:t>
            </w:r>
          </w:p>
        </w:tc>
      </w:tr>
      <w:tr>
        <w:trPr>
          <w:trHeight w:val="555"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83 455,5</w:t>
            </w:r>
          </w:p>
        </w:tc>
      </w:tr>
      <w:tr>
        <w:trPr>
          <w:trHeight w:val="360"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83 455,5</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83 455,5</w:t>
            </w:r>
          </w:p>
        </w:tc>
      </w:tr>
    </w:tbl>
    <w:bookmarkStart w:name="z43" w:id="2"/>
    <w:p>
      <w:pPr>
        <w:spacing w:after="0"/>
        <w:ind w:left="0"/>
        <w:jc w:val="both"/>
      </w:pPr>
      <w:r>
        <w:rPr>
          <w:rFonts w:ascii="Times New Roman"/>
          <w:b w:val="false"/>
          <w:i w:val="false"/>
          <w:color w:val="000000"/>
          <w:sz w:val="28"/>
        </w:rPr>
        <w:t xml:space="preserve">
Атбасар аудандық     </w:t>
      </w:r>
      <w:r>
        <w:br/>
      </w:r>
      <w:r>
        <w:rPr>
          <w:rFonts w:ascii="Times New Roman"/>
          <w:b w:val="false"/>
          <w:i w:val="false"/>
          <w:color w:val="000000"/>
          <w:sz w:val="28"/>
        </w:rPr>
        <w:t xml:space="preserve">
мәслихатының 2012 жылғы </w:t>
      </w:r>
      <w:r>
        <w:br/>
      </w:r>
      <w:r>
        <w:rPr>
          <w:rFonts w:ascii="Times New Roman"/>
          <w:b w:val="false"/>
          <w:i w:val="false"/>
          <w:color w:val="000000"/>
          <w:sz w:val="28"/>
        </w:rPr>
        <w:t>
4 желтоқсандағы № 5С 11/1</w:t>
      </w:r>
      <w:r>
        <w:br/>
      </w:r>
      <w:r>
        <w:rPr>
          <w:rFonts w:ascii="Times New Roman"/>
          <w:b w:val="false"/>
          <w:i w:val="false"/>
          <w:color w:val="000000"/>
          <w:sz w:val="28"/>
        </w:rPr>
        <w:t xml:space="preserve">
шешіміне 2 қосымша   </w:t>
      </w:r>
    </w:p>
    <w:bookmarkEnd w:id="2"/>
    <w:bookmarkStart w:name="z44" w:id="3"/>
    <w:p>
      <w:pPr>
        <w:spacing w:after="0"/>
        <w:ind w:left="0"/>
        <w:jc w:val="left"/>
      </w:pPr>
      <w:r>
        <w:rPr>
          <w:rFonts w:ascii="Times New Roman"/>
          <w:b/>
          <w:i w:val="false"/>
          <w:color w:val="000000"/>
        </w:rPr>
        <w:t xml:space="preserve"> 
Аудандық маңызы бар қаланың, ауылдық (селолық)</w:t>
      </w:r>
      <w:r>
        <w:br/>
      </w:r>
      <w:r>
        <w:rPr>
          <w:rFonts w:ascii="Times New Roman"/>
          <w:b/>
          <w:i w:val="false"/>
          <w:color w:val="000000"/>
        </w:rPr>
        <w:t>
округтің бюджеттік бағдарламалары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23"/>
        <w:gridCol w:w="534"/>
        <w:gridCol w:w="8765"/>
        <w:gridCol w:w="2476"/>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150 465,1</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114 922,1</w:t>
            </w:r>
          </w:p>
        </w:tc>
      </w:tr>
      <w:tr>
        <w:trPr>
          <w:trHeight w:val="705"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6 804,8</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6 804,8</w:t>
            </w:r>
          </w:p>
        </w:tc>
      </w:tr>
      <w:tr>
        <w:trPr>
          <w:trHeight w:val="210"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6 080,9</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6 080,9</w:t>
            </w:r>
          </w:p>
        </w:tc>
      </w:tr>
      <w:tr>
        <w:trPr>
          <w:trHeight w:val="30"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селолық округі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6 120,7</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6 120,7</w:t>
            </w:r>
          </w:p>
        </w:tc>
      </w:tr>
      <w:tr>
        <w:trPr>
          <w:trHeight w:val="780"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селолық округі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7 747,2</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7 747,2</w:t>
            </w:r>
          </w:p>
        </w:tc>
      </w:tr>
      <w:tr>
        <w:trPr>
          <w:trHeight w:val="780"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селолық округі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6 124,2</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6 124,2</w:t>
            </w:r>
          </w:p>
        </w:tc>
      </w:tr>
      <w:tr>
        <w:trPr>
          <w:trHeight w:val="705"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Новоселский селолық округі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7 466,4</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7 466,4</w:t>
            </w:r>
          </w:p>
        </w:tc>
      </w:tr>
      <w:tr>
        <w:trPr>
          <w:trHeight w:val="675"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5 628,3</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5 628,3</w:t>
            </w:r>
          </w:p>
        </w:tc>
      </w:tr>
      <w:tr>
        <w:trPr>
          <w:trHeight w:val="660"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селолық округі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7 443,0</w:t>
            </w:r>
          </w:p>
        </w:tc>
      </w:tr>
      <w:tr>
        <w:trPr>
          <w:trHeight w:val="735"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селолық округі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6 133,6</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6 133,6</w:t>
            </w:r>
          </w:p>
        </w:tc>
      </w:tr>
      <w:tr>
        <w:trPr>
          <w:trHeight w:val="660"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7 140,0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5 620,0</w:t>
            </w:r>
          </w:p>
        </w:tc>
      </w:tr>
      <w:tr>
        <w:trPr>
          <w:trHeight w:val="255" w:hRule="atLeast"/>
        </w:trPr>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p>
        </w:tc>
      </w:tr>
      <w:tr>
        <w:trPr>
          <w:trHeight w:val="750"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селолық округі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7 614,0</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7 614,0</w:t>
            </w:r>
          </w:p>
        </w:tc>
      </w:tr>
      <w:tr>
        <w:trPr>
          <w:trHeight w:val="735"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5 708,6</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5 708,6</w:t>
            </w:r>
          </w:p>
        </w:tc>
      </w:tr>
      <w:tr>
        <w:trPr>
          <w:trHeight w:val="750"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селолық округі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7 237,6</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7 237,6</w:t>
            </w:r>
          </w:p>
        </w:tc>
      </w:tr>
      <w:tr>
        <w:trPr>
          <w:trHeight w:val="705"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6 366,6</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6 366,6</w:t>
            </w:r>
          </w:p>
        </w:tc>
      </w:tr>
      <w:tr>
        <w:trPr>
          <w:trHeight w:val="765"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селолық округі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7 312,8</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7 312,8</w:t>
            </w:r>
          </w:p>
        </w:tc>
      </w:tr>
      <w:tr>
        <w:trPr>
          <w:trHeight w:val="645"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13 993,4</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13 993,4</w:t>
            </w:r>
          </w:p>
        </w:tc>
      </w:tr>
      <w:tr>
        <w:trPr>
          <w:trHeight w:val="54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25 643,0</w:t>
            </w:r>
          </w:p>
        </w:tc>
      </w:tr>
      <w:tr>
        <w:trPr>
          <w:trHeight w:val="105"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селолық округі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675"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25 263,0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6 678,0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16 790,0</w:t>
            </w:r>
          </w:p>
        </w:tc>
      </w:tr>
      <w:tr>
        <w:trPr>
          <w:trHeight w:val="30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9 900,0</w:t>
            </w:r>
          </w:p>
        </w:tc>
      </w:tr>
      <w:tr>
        <w:trPr>
          <w:trHeight w:val="90"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45"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селолық округі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60"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7 900,0</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