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f5e3" w14:textId="d5af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2012 жылғы 28 қыркүйектегі № 350 Бұйрығы. Қазақстан Республикасының Әділет министрлігінде 2012 жылы 8 қарашада № 8057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бірлігін қамтамасыз ету туралы" 2000 жылғы 7 маусымдағы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Сауда және интеграция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Салыстырып тексерілетін өлшем құралдары туралы деректердің электрондық есебі және оларды мемлекеттік ғылыми метрологиялық орталыққа беру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Техникалық реттеу және метрология комитеті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жаңа технологиялар министрлігінің интернет-ресурсында орналасуын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"Салыстырып тексерілетін өлшем құралдары туралы деректердің электрондық есебі және оларды мемлекеттік ғылыми метрологиялық орталыққа беру туралы ережені бекіту туралы" (Мемлекеттік нормативтік құқықтық актілердің тіркеу тізілімінде № 3435 болып тіркелген) Қазақстан Республикасы Индустрия және сауда министрлігі Техникалық реттеу және метрология комитеті төрағасының 2005 жылғы 20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Индустрия және жаңа технологиялар вице-министрі Қ.А. Тулеушинге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жарияланғанынан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 технологиялар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Индустрия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Сауда және интеграция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қағидалары "Өлшем бірлігін қамтамасыз ету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құпияларды және заңмен қорғалатын өзге де құпияны құрайтын жағдайларды қоспағанда, салыстырып тексерілетін өлшем құралдары туралы деректердің электрондық есебі және оларды Мемлекеттік ғылыми метрологиялық орталыққа (бұдан әрі - МҒМО) беру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Сауда және интеграция министрінің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Салыстырып тексерілетін өлшем құралдары туралы деректердің электрондық есепке алынуы өлшем құралдарына салыстырып тексеру жүргізу құқығына аккредиттелген заңды тұлғалар (бұдан әрі - Салыстырып тексеру зертханалары) ұсынатын деректерді тіркеу арқылы жүзеге асырылады.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Салыстырып тексеру зертханалары салыстырып тексерілетін өлшем құралдары туралы деректердің электрондық есебін және оларды МҒМО-ға беруді техникалық реттеудің ақпараттық жүйесінде өлшем құралдарын салыстырып тексеру туралы сертификатты ресімдеу жолымен жүзеге асырады.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Сауда және интеграция министрінің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Салыстырып тексеру зертханалары техникалық реттеудің ақпараттық жүйесінде салыстырып тексерілетін өлшем құралдары туралы сертификатты ресімдеу кезінде мынадай мәліметтерді көрсетеді: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өлшем құралының салыстырып тексеру туралы сертификаттың (жарамсыздығы туралы хабарламаның) нөмірі және (немесе) өздігінен желімделетін лейблдің нөмірлік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өлшем құралының (эталонның)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типі, белгіленуі;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зауыттық нөмірі (деректер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өлшем құралының өлшеу диапазоны;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дайындаушы (деректер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дайындалған күні (деректер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пайдаланушы (деректер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салыстырып тексеру жөніндегі нормативтік құжаттың белгіленуі мен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салыстырып тексеру кезінде пайдаланылатын эталон мен қосалқы жабдықтың белгіленуі;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класс немесе басқа да дәлдік сипаттамалары;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өлшеуді бақылап тексеру туралы ақпарат;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салыстырып тексеру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өлшем құралдарын салыстырып тексеру туралы сертификаттың немесе өздігінен желімделетін лейблдің жарамдылық мерзімі;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бөлім (зертхана) басшысының тегі, аты, әкесінің аты (ол бар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салыстырып тексерушінің тегі, аты, әкесінің аты (ол бар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лейблдер, пломбалар бойынша мәліметтер.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Сауда және интеграция министрінің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Салыстырып тексеру зертханалары ұсынатын деректер автоматты режимде келіп түскен сәттен бастап техникалық реттеудің ақпараттық жүйесінде есепке алынады.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Сауда және интеграция министрінің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