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8e87" w14:textId="4c58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тазартылған құйма алтынмен және күміспен жүргізілетін экспорттық операциялар жөніндегі есептілікті беру нысандары, мерзімдері және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259 Қаулысы. Қазақстан Республикасы Әділет министрлігінде 2012 жылы 8 қазанда № 7989 тіркелді. Күші жойылды - Қазақстан Республикасы Ұлттық Банкі Басқармасының 2018 жылғы 30 шiлдедегi № 163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30.07.2018 № 163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екінші деңгейдегі банктердің тазартылған құйма алтынмен және күміспен жүргізілетін экспорттық операциялар жөніндегі есептілікті беруін реттеу мақсатында Қазақстан Республикасының Ұлттық Банкі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Екінші деңгейдегі банктердің тазартылған құйма алтынмен және күміспен жүргізілетін экспорттық операциялар жөніндегі есептілікті беру нысандары, мерзімдері және тәртібі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Ұлттық Банкі Басқармасының "Екінші деңгейдегі банктердің тазартылған құйма алтынмен және күміспен экспорттық операциялары бойынша есебінің нысанын бекіту туралы" 2011 жылғы 25 қарашадағы № 191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7396 тіркелген, 2012 жылғы 28 сәуірде "Егемен Қазақстан" газетінде № 195-200 (27274)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Статистика агенттігі</w:t>
      </w:r>
    </w:p>
    <w:p>
      <w:pPr>
        <w:spacing w:after="0"/>
        <w:ind w:left="0"/>
        <w:jc w:val="both"/>
      </w:pPr>
      <w:r>
        <w:rPr>
          <w:rFonts w:ascii="Times New Roman"/>
          <w:b w:val="false"/>
          <w:i w:val="false"/>
          <w:color w:val="000000"/>
          <w:sz w:val="28"/>
        </w:rPr>
        <w:t>
      Төраға _______Ә.А. Смайылов</w:t>
      </w:r>
    </w:p>
    <w:p>
      <w:pPr>
        <w:spacing w:after="0"/>
        <w:ind w:left="0"/>
        <w:jc w:val="both"/>
      </w:pPr>
      <w:r>
        <w:rPr>
          <w:rFonts w:ascii="Times New Roman"/>
          <w:b w:val="false"/>
          <w:i w:val="false"/>
          <w:color w:val="000000"/>
          <w:sz w:val="28"/>
        </w:rPr>
        <w:t>
      2012 жылғы 1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тамыздағы</w:t>
            </w:r>
            <w:r>
              <w:br/>
            </w:r>
            <w:r>
              <w:rPr>
                <w:rFonts w:ascii="Times New Roman"/>
                <w:b w:val="false"/>
                <w:i w:val="false"/>
                <w:color w:val="000000"/>
                <w:sz w:val="20"/>
              </w:rPr>
              <w:t>№ 259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Екінші деңгейдегі банктердің тазартылған құйма алтынмен және</w:t>
      </w:r>
      <w:r>
        <w:br/>
      </w:r>
      <w:r>
        <w:rPr>
          <w:rFonts w:ascii="Times New Roman"/>
          <w:b/>
          <w:i w:val="false"/>
          <w:color w:val="000000"/>
        </w:rPr>
        <w:t>күміспен жүргізілетін экспорттық операциялар жөніндегі</w:t>
      </w:r>
      <w:r>
        <w:br/>
      </w:r>
      <w:r>
        <w:rPr>
          <w:rFonts w:ascii="Times New Roman"/>
          <w:b/>
          <w:i w:val="false"/>
          <w:color w:val="000000"/>
        </w:rPr>
        <w:t>есептілікті беру нысандары, мерзімдері және тәртібі туралы</w:t>
      </w:r>
      <w:r>
        <w:br/>
      </w:r>
      <w:r>
        <w:rPr>
          <w:rFonts w:ascii="Times New Roman"/>
          <w:b/>
          <w:i w:val="false"/>
          <w:color w:val="000000"/>
        </w:rPr>
        <w:t>нұсқаулық</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Екінші деңгейдегі банктердің тазартылған құйма алтынмен және күміспен жүргізілетін экспорттық операциялар жөніндегі есептілікті беру нысандары, мерзімдері және тәртібі туралы нұсқаулық (бұдан әрі – Нұсқаулық)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екінші деңгейдегі банктердің тазартылған құйма алтынмен және күміспен жүргізілетін экспорттық операциялар жөніндегі есептілікті Қазақстан Республикасының Ұлттық Банкіне (бұдан әрі – Ұлттық Банк) ұсынуын нақтылайды.</w:t>
      </w:r>
    </w:p>
    <w:bookmarkEnd w:id="5"/>
    <w:bookmarkStart w:name="z9" w:id="6"/>
    <w:p>
      <w:pPr>
        <w:spacing w:after="0"/>
        <w:ind w:left="0"/>
        <w:jc w:val="left"/>
      </w:pPr>
      <w:r>
        <w:rPr>
          <w:rFonts w:ascii="Times New Roman"/>
          <w:b/>
          <w:i w:val="false"/>
          <w:color w:val="000000"/>
        </w:rPr>
        <w:t xml:space="preserve"> 2. Есептілікті ұсыну</w:t>
      </w:r>
    </w:p>
    <w:bookmarkEnd w:id="6"/>
    <w:bookmarkStart w:name="z10" w:id="7"/>
    <w:p>
      <w:pPr>
        <w:spacing w:after="0"/>
        <w:ind w:left="0"/>
        <w:jc w:val="both"/>
      </w:pPr>
      <w:r>
        <w:rPr>
          <w:rFonts w:ascii="Times New Roman"/>
          <w:b w:val="false"/>
          <w:i w:val="false"/>
          <w:color w:val="000000"/>
          <w:sz w:val="28"/>
        </w:rPr>
        <w:t>
      2. Тазартылған құйма алтынмен және күміспен экспорттық операцияларды жүзеге асыратын екінші деңгейдегі банктер ай сайын Ұлттық Банкке Тазартылған құйма алтынмен және күміспен экспорттық операциялар бойынша есеп (бұдан әрі – Есеп) ұсынады.</w:t>
      </w:r>
    </w:p>
    <w:bookmarkEnd w:id="7"/>
    <w:bookmarkStart w:name="z11" w:id="8"/>
    <w:p>
      <w:pPr>
        <w:spacing w:after="0"/>
        <w:ind w:left="0"/>
        <w:jc w:val="both"/>
      </w:pPr>
      <w:r>
        <w:rPr>
          <w:rFonts w:ascii="Times New Roman"/>
          <w:b w:val="false"/>
          <w:i w:val="false"/>
          <w:color w:val="000000"/>
          <w:sz w:val="28"/>
        </w:rPr>
        <w:t>
      3. Есеп есепті айдан кейінгі айдың бес жұмыс күнінен кешіктірмей, электрондық түрде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қаржылық автоматтандырылған ақпарат тасымалдау жүйесі (ҚААТЖ) арқылы ұсынылады.</w:t>
      </w:r>
    </w:p>
    <w:bookmarkEnd w:id="8"/>
    <w:bookmarkStart w:name="z12" w:id="9"/>
    <w:p>
      <w:pPr>
        <w:spacing w:after="0"/>
        <w:ind w:left="0"/>
        <w:jc w:val="both"/>
      </w:pPr>
      <w:r>
        <w:rPr>
          <w:rFonts w:ascii="Times New Roman"/>
          <w:b w:val="false"/>
          <w:i w:val="false"/>
          <w:color w:val="000000"/>
          <w:sz w:val="28"/>
        </w:rPr>
        <w:t>
      4. Есеп Нұсқаулыққа қосымшада белгіленген нысан бойынша жасалынады.</w:t>
      </w:r>
    </w:p>
    <w:bookmarkEnd w:id="9"/>
    <w:bookmarkStart w:name="z13" w:id="10"/>
    <w:p>
      <w:pPr>
        <w:spacing w:after="0"/>
        <w:ind w:left="0"/>
        <w:jc w:val="both"/>
      </w:pPr>
      <w:r>
        <w:rPr>
          <w:rFonts w:ascii="Times New Roman"/>
          <w:b w:val="false"/>
          <w:i w:val="false"/>
          <w:color w:val="000000"/>
          <w:sz w:val="28"/>
        </w:rPr>
        <w:t>
      5. Қағаз тасымалдауыштағы Есепке бірінші басшы немесе оның орнындағы тұлға, бас бухгалтер және орындаушы қол қояды, мөрмен (ол болған кезде) бекітіледі және екінші деңгейдегі банкте бес жыл бойы сақталады. Есепте түзетулер мен тазартулар болмауы тиіс.</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6. Екінші деңгейдегі банк ұсынған Есепте толық емес ақпараттар немесе қателер табылған кезде, сондай-ақ электрондық түрде ұсынылған Есептің саналуы мүмкін болмаған жағдайларда, Ұлттық Банк бұл туралы үш жұмыс күні ішінде екінші деңгейдегі банкке хабарлайды. Екінші деңгейдегі банк хабарлама алған күннен бастап үш жұмыс күнінен кешіктірмей ескертулерді есепке ала отырып пысықталған Есепті ұсынады.</w:t>
      </w:r>
    </w:p>
    <w:bookmarkEnd w:id="11"/>
    <w:bookmarkStart w:name="z15" w:id="12"/>
    <w:p>
      <w:pPr>
        <w:spacing w:after="0"/>
        <w:ind w:left="0"/>
        <w:jc w:val="both"/>
      </w:pPr>
      <w:r>
        <w:rPr>
          <w:rFonts w:ascii="Times New Roman"/>
          <w:b w:val="false"/>
          <w:i w:val="false"/>
          <w:color w:val="000000"/>
          <w:sz w:val="28"/>
        </w:rPr>
        <w:t>
      7. Екінші деңгейдегі банктер қажет болған жағдайда Ұлттық Банктің сұратуы бойынша ұсынылған мәліметтердің дұрыстығын растау үшін қажетті құжаттарды (шарттар, шот-фактуралар, қабылдау-өткізу актілері, төлем тапсырмалары) үш жұмыс күні ішінде ұсынады.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тазартылған құйма алтынмен</w:t>
            </w:r>
            <w:r>
              <w:br/>
            </w:r>
            <w:r>
              <w:rPr>
                <w:rFonts w:ascii="Times New Roman"/>
                <w:b w:val="false"/>
                <w:i w:val="false"/>
                <w:color w:val="000000"/>
                <w:sz w:val="20"/>
              </w:rPr>
              <w:t>және күміспен жүргізілетін</w:t>
            </w:r>
            <w:r>
              <w:br/>
            </w:r>
            <w:r>
              <w:rPr>
                <w:rFonts w:ascii="Times New Roman"/>
                <w:b w:val="false"/>
                <w:i w:val="false"/>
                <w:color w:val="000000"/>
                <w:sz w:val="20"/>
              </w:rPr>
              <w:t>экспорттық операциялар жөніндегі</w:t>
            </w:r>
            <w:r>
              <w:br/>
            </w:r>
            <w:r>
              <w:rPr>
                <w:rFonts w:ascii="Times New Roman"/>
                <w:b w:val="false"/>
                <w:i w:val="false"/>
                <w:color w:val="000000"/>
                <w:sz w:val="20"/>
              </w:rPr>
              <w:t>есептілікті беру нысандары,</w:t>
            </w:r>
            <w:r>
              <w:br/>
            </w:r>
            <w:r>
              <w:rPr>
                <w:rFonts w:ascii="Times New Roman"/>
                <w:b w:val="false"/>
                <w:i w:val="false"/>
                <w:color w:val="000000"/>
                <w:sz w:val="20"/>
              </w:rPr>
              <w:t>мерзімдері және тәртібі туралы</w:t>
            </w:r>
            <w:r>
              <w:br/>
            </w:r>
            <w:r>
              <w:rPr>
                <w:rFonts w:ascii="Times New Roman"/>
                <w:b w:val="false"/>
                <w:i w:val="false"/>
                <w:color w:val="000000"/>
                <w:sz w:val="20"/>
              </w:rPr>
              <w:t>нұсқаулыққа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жаңа редакцияда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(екінші деңгейдегі банктің толық атауы)</w:t>
      </w:r>
    </w:p>
    <w:p>
      <w:pPr>
        <w:spacing w:after="0"/>
        <w:ind w:left="0"/>
        <w:jc w:val="left"/>
      </w:pPr>
      <w:r>
        <w:rPr>
          <w:rFonts w:ascii="Times New Roman"/>
          <w:b/>
          <w:i w:val="false"/>
          <w:color w:val="000000"/>
        </w:rPr>
        <w:t xml:space="preserve"> тазартылған құйма алтынмен және күміспен</w:t>
      </w:r>
      <w:r>
        <w:br/>
      </w:r>
      <w:r>
        <w:rPr>
          <w:rFonts w:ascii="Times New Roman"/>
          <w:b/>
          <w:i w:val="false"/>
          <w:color w:val="000000"/>
        </w:rPr>
        <w:t>экспорттық операциялары бойынша</w:t>
      </w:r>
      <w:r>
        <w:br/>
      </w:r>
      <w:r>
        <w:rPr>
          <w:rFonts w:ascii="Times New Roman"/>
          <w:b/>
          <w:i w:val="false"/>
          <w:color w:val="000000"/>
        </w:rPr>
        <w:t>20___ жылғы ____________ *</w:t>
      </w:r>
      <w:r>
        <w:br/>
      </w:r>
      <w:r>
        <w:rPr>
          <w:rFonts w:ascii="Times New Roman"/>
          <w:b/>
          <w:i w:val="false"/>
          <w:color w:val="000000"/>
        </w:rPr>
        <w:t>есебі</w:t>
      </w:r>
    </w:p>
    <w:p>
      <w:pPr>
        <w:spacing w:after="0"/>
        <w:ind w:left="0"/>
        <w:jc w:val="both"/>
      </w:pPr>
      <w:r>
        <w:rPr>
          <w:rFonts w:ascii="Times New Roman"/>
          <w:b w:val="false"/>
          <w:i w:val="false"/>
          <w:color w:val="000000"/>
          <w:sz w:val="28"/>
        </w:rPr>
        <w:t>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1480"/>
        <w:gridCol w:w="1480"/>
        <w:gridCol w:w="2163"/>
        <w:gridCol w:w="2986"/>
        <w:gridCol w:w="2711"/>
      </w:tblGrid>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толық атауы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Импортердің елі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 саны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(унция)</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(унция)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сомасы**</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күміс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Мәліметтер есепті айда тазартылған құйма алтын мен күмісті экспорт кедендік рәсімімен орналастыру үшін кеден органы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шығарған операциялар бойынша ұсынылады.</w:t>
      </w:r>
    </w:p>
    <w:p>
      <w:pPr>
        <w:spacing w:after="0"/>
        <w:ind w:left="0"/>
        <w:jc w:val="both"/>
      </w:pPr>
      <w:r>
        <w:rPr>
          <w:rFonts w:ascii="Times New Roman"/>
          <w:b w:val="false"/>
          <w:i w:val="false"/>
          <w:color w:val="000000"/>
          <w:sz w:val="28"/>
        </w:rPr>
        <w:t>
      ** Сомасы сатылу валютасында, валюта түрін көрсете отырып беріледі.</w:t>
      </w:r>
    </w:p>
    <w:p>
      <w:pPr>
        <w:spacing w:after="0"/>
        <w:ind w:left="0"/>
        <w:jc w:val="both"/>
      </w:pPr>
      <w:r>
        <w:rPr>
          <w:rFonts w:ascii="Times New Roman"/>
          <w:b w:val="false"/>
          <w:i w:val="false"/>
          <w:color w:val="000000"/>
          <w:sz w:val="28"/>
        </w:rPr>
        <w:t>
      Бірінші басшы (ол жоқ болғанда</w:t>
      </w:r>
    </w:p>
    <w:p>
      <w:pPr>
        <w:spacing w:after="0"/>
        <w:ind w:left="0"/>
        <w:jc w:val="both"/>
      </w:pPr>
      <w:r>
        <w:rPr>
          <w:rFonts w:ascii="Times New Roman"/>
          <w:b w:val="false"/>
          <w:i w:val="false"/>
          <w:color w:val="000000"/>
          <w:sz w:val="28"/>
        </w:rPr>
        <w:t>
       - оның орнындағы тұлға) _______________ күні ________________</w:t>
      </w:r>
    </w:p>
    <w:p>
      <w:pPr>
        <w:spacing w:after="0"/>
        <w:ind w:left="0"/>
        <w:jc w:val="both"/>
      </w:pPr>
      <w:r>
        <w:rPr>
          <w:rFonts w:ascii="Times New Roman"/>
          <w:b w:val="false"/>
          <w:i w:val="false"/>
          <w:color w:val="000000"/>
          <w:sz w:val="28"/>
        </w:rPr>
        <w:t>
       Бас бухгалтер _________________________ күні ________________</w:t>
      </w:r>
    </w:p>
    <w:p>
      <w:pPr>
        <w:spacing w:after="0"/>
        <w:ind w:left="0"/>
        <w:jc w:val="both"/>
      </w:pPr>
      <w:r>
        <w:rPr>
          <w:rFonts w:ascii="Times New Roman"/>
          <w:b w:val="false"/>
          <w:i w:val="false"/>
          <w:color w:val="000000"/>
          <w:sz w:val="28"/>
        </w:rPr>
        <w:t>
       Орындаушы _____________________________ күні _______)________</w:t>
      </w:r>
    </w:p>
    <w:p>
      <w:pPr>
        <w:spacing w:after="0"/>
        <w:ind w:left="0"/>
        <w:jc w:val="both"/>
      </w:pPr>
      <w:r>
        <w:rPr>
          <w:rFonts w:ascii="Times New Roman"/>
          <w:b w:val="false"/>
          <w:i w:val="false"/>
          <w:color w:val="000000"/>
          <w:sz w:val="28"/>
        </w:rPr>
        <w:t>
       Телефоны ______________________________</w:t>
      </w:r>
    </w:p>
    <w:p>
      <w:pPr>
        <w:spacing w:after="0"/>
        <w:ind w:left="0"/>
        <w:jc w:val="both"/>
      </w:pPr>
      <w:r>
        <w:rPr>
          <w:rFonts w:ascii="Times New Roman"/>
          <w:b w:val="false"/>
          <w:i w:val="false"/>
          <w:color w:val="000000"/>
          <w:sz w:val="28"/>
        </w:rPr>
        <w:t>
       Мөр орны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