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2ec8" w14:textId="fc62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Сақтандыру (қайта сақтандыру) ұйымдарын ерiктi түрде таратуға рұқсат беру не көрсетілген рұқсатты беруден бас тарту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26 маусымдағы № 198 Қаулысы. Қазақстан Республикасы Әділет министрлігінде 2012 жылы 30 шілдеде № 7811 тіркелді. Күші жойылды - Қазақстан Республикасы Ұлттық Банкі Басқармасының 2019 жылғы 27 тамыздағы № 149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– ҚР Ұлттық Банкі Басқармасының 27.08.2019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"Сақтандыру қызметі туралы" 2000 жылғы 18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Сақтандыру (қайта сақтандыру) ұйымдарын ерiктi түрде таратуға рұқсат беру не көрсетілген рұқсатты беруден бас тарту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Ғалиева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(қайта сақтандыру) ұйымдарын ерiктi түрде таратуға</w:t>
      </w:r>
      <w:r>
        <w:br/>
      </w:r>
      <w:r>
        <w:rPr>
          <w:rFonts w:ascii="Times New Roman"/>
          <w:b/>
          <w:i w:val="false"/>
          <w:color w:val="000000"/>
        </w:rPr>
        <w:t>рұқсат беру не көрсетілген рұқсатты беруден бас тарту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Сақтандыру (қайта сақтандыру) ұйымдарын ерiктi түрде таратуға рұқсат беру не көрсетілген рұқсатты беруден бас тарту қағидалары (бұдан әрi – Қағидалар) "Сақтандыру қызметі туралы" 2000 жылғы 18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әзірленген және сақтандыру (қайта сақтандыру) ұйымын ерікті түрде таратуға рұқсат беру не көрсетілген рұқсатты беруден бас тарту тәртiбiн айқындайды.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Қаржы нарығын және қаржы ұйымдарын мемлекеттік реттеуді, бақылау мен қадағалауды жүзеге асыратын мемлекеттік органның (бұдан әрі – уәкілетті орган) ерікті түрде таратуға рұқсатын алу үшін сақтандыру (қайта сақтандыру) ұйымы сақтандыру портфелін табыс еткеннен кейін сақтандыру (қайта сақтандыру) ұйымының бірінші басшысы, ол болмаған кезде – оның орнындағы адам қол қойған сақтандыру (қайта сақтандыру) ұйымын ерікті түрде таратуға рұқсат беру туралы өтінішхатты (бұдан әрi – өтiнiшхат) береді.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Ұлттық Банкі Төрағасының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Өтiнiшхат уәкілетті органға Қағидалардың қосымшасына сәйкес нысан бойынша қағаз тасымалдағышта не "электрондық үкіметтің" веб-порталы арқылы электрондық түрде ұсынылады.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Ұлттық Банкі Төрағасының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Өтінішхатқа мынадай құжаттар қоса беріледі: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сақтандыру (қайта сақтандыру) ұйымы акционерлерінің жалпы жиналысының ерікті түрде тарату туралы шешімі;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тарату комиссиясының, оның iшiнде филиалдарында не өкiлдiктерiнде құрылатын бөлiмшелерiндегi мүшелiкке кандидаттардың тiзiмi;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аудиторлық ұйым растаған, сақтандыру портфелін табыс еткеннен кейінгі күнi жасалған қаржылық есеп;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сақтандыру (қайта сақтандыру) ұйымы мiндеттемелерiнің сомасы туралы мәліметтер қамтылған, акционерлердің жалпы жиналысы сақтандыру (қайта сақтандыру) ұйымын ерікті түрде тарату туралы шешімді қабылдаған күнi жасалған сақтандыру (қайта сақтандыру) ұйымы кредиторларының тiзiмi;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сақтандыру (қайта сақтандыру) ұйымының өзі жасаған сақтандыру және қайта сақтандыру шарттары бойынша міндеттемелерінен тұратын басқа сақтандыру (қайта сақтандыру) ұйымына сақтандыру портфелiн қабылдау-өткiзу актiсi (осындай табыстау бар болса);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сақтандыру (қайта сақтандыру) ұйымында жасалған сақтандыру (қайта сақтандыру) шарттары бойынша мiндеттемелердің жоқ екенін растайтын құжаттар;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акционерлердiң жалпы жиналысы бекiткен сақтандыру (қайта сақтандыру) ұйымын өз қызметiн тоқтатуға дайындықтың мерзiмдерi мен кезеңдерi туралы iс-шаралар (жоспар және кесте) тiзбесi.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өтінішті барлық қажетті құжаттар келіп түскен күннен бастап екі ай ішінде қарайды.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 ұсынған құжаттар пакетін қарау нәтижелері бойынша сақтандыру (қайта сақтандыру) ұйымын ерікті түрде таратуға рұқсатты беру не беруден бас тарту туралы шешім қабылданады.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Ұлттық Банкі басқармасының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Заңның </w:t>
      </w:r>
      <w:r>
        <w:rPr>
          <w:rFonts w:ascii="Times New Roman"/>
          <w:b w:val="false"/>
          <w:i w:val="false"/>
          <w:color w:val="000000"/>
          <w:sz w:val="28"/>
        </w:rPr>
        <w:t>68-бабында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сақтандыру (қайта сақтандыру) ұйымын ерікті түрде таратуға рұқсат беруден бас тартылады.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Сақтандыру (қайта сақтандыру) ұйымын ерікті түрде таратуға рұқсат беру не көрсетілген рұқсатты беруден бас тарту туралы шешім сақтандыру (қайта сақтандыру) ұйымына жазбаша түрде жіберіледі.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 ерікті түрде таратуға рұқсат беруден бас тарту туралы шешімде бас тарту негiздерi көрсетіледі.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Ерікті түрде таратуға рұқсат алған жағдайда сақтандыру (қайта сақтандыру) ұйымы бұрын берілген барлық лицензияларды уәкілетті органға бір апталық мерзімде қайтарады.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Сақтандыру (қайта сақтандыру) ұйымы ерікті түрде таратуға рұқсат алғаннан кейін сақтандыру (қайта сақтандыру) ұйымының филиалдары мен өкілдіктерін ескере отырып,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сақтандыру (қайта сақтандыру) ұйымының мүлкін және істерін басқару өкілеттіктері өтетін тарату комиссиясын құрады.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(қайта сақтандыру)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ерiктi түрде 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не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 беруден 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және қаржы ұйымдарын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мен қадағалау комитетінің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төрағасына             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(қайта сақтандыру) ұйымын ерiктi түрде таратуға</w:t>
      </w:r>
      <w:r>
        <w:br/>
      </w:r>
      <w:r>
        <w:rPr>
          <w:rFonts w:ascii="Times New Roman"/>
          <w:b/>
          <w:i w:val="false"/>
          <w:color w:val="000000"/>
        </w:rPr>
        <w:t>рұқсат беру туралы</w:t>
      </w:r>
      <w:r>
        <w:br/>
      </w:r>
      <w:r>
        <w:rPr>
          <w:rFonts w:ascii="Times New Roman"/>
          <w:b/>
          <w:i w:val="false"/>
          <w:color w:val="000000"/>
        </w:rPr>
        <w:t>ӨТІНІШХАТ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(өтiнiш берушiнiң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 акционерлерінің жалпы жиналысының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(өткiзiлетiн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жылғы "____" _______________ № ____ шешіміне сәйкес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(қайта сақтандыру) ұйымын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сақтандыру (қайта сақтандыру) ұйымының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ерікті түрде таратуға рұқсат беруді сұрайды.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 өзінің барлық кредиторларының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талаптарын толығымен қанағаттандыруды қамтамасыз етуге міндеттенеді.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Сақтандыру (қайта сақтандыру) ұйымы өтінішхатқа қоса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мен ақпараттың дәйектілігіне, сондай-ақ өтінішхатты қарауға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сұралатын қосымша ақпараттың және құжаттардың уәкілетті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органға уақтылы берілуіне толығымен жауап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Қоса берілген құжаттар (жіберілген құжаттардың атаулы тізбесін,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әрқайсысы бойынша дана және парақ санын көрсету керек):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Сақтандыру (қайта сақтандыру) ұйымының бірінші басшысы (ол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болмаған кезде – оның орнындағы 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       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(қолы)                            мөр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