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6f991" w14:textId="d26f9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2006 жылғы 25 шілдедегі № 65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2012 жылғы 28 сәуірдегі № 161 қаулысы. Қазақстан Республикасы Әділет министрлігінде 2012 жылы 2 шілдеде № 7780 тіркелді</w:t>
      </w:r>
    </w:p>
    <w:p>
      <w:pPr>
        <w:spacing w:after="0"/>
        <w:ind w:left="0"/>
        <w:jc w:val="both"/>
      </w:pPr>
      <w:bookmarkStart w:name="z1" w:id="0"/>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және «Қазақстан Республикасының Ұлттық қорын сенімгерлік басқару туралы шарт туралы» Қазақстан Республикасы Үкіметінің 2001 жылғы 18 мамырдағы № 655 </w:t>
      </w:r>
      <w:r>
        <w:rPr>
          <w:rFonts w:ascii="Times New Roman"/>
          <w:b w:val="false"/>
          <w:i w:val="false"/>
          <w:color w:val="000000"/>
          <w:sz w:val="28"/>
        </w:rPr>
        <w:t>қаулысымен</w:t>
      </w:r>
      <w:r>
        <w:rPr>
          <w:rFonts w:ascii="Times New Roman"/>
          <w:b w:val="false"/>
          <w:i w:val="false"/>
          <w:color w:val="000000"/>
          <w:sz w:val="28"/>
        </w:rPr>
        <w:t xml:space="preserve"> мақұлданған Қазақстан Республикасының Ұлттық қорын сенімгерлік басқару туралы 2001 жылғы 14 маусымдағы № 299 шартқа сәйкес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 Ұлттық қорының инвестициялық операцияларын жүзеге асыру ережесін бекіту туралы» 2006 жылғы 25 шілдедегі № 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4361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Ұлттық қорының инвестициялық операцияларын жүзеге асыру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және </w:t>
      </w:r>
      <w:r>
        <w:rPr>
          <w:rFonts w:ascii="Times New Roman"/>
          <w:b w:val="false"/>
          <w:i w:val="false"/>
          <w:color w:val="000000"/>
          <w:sz w:val="28"/>
        </w:rPr>
        <w:t>2-тараулардың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«1. Жалпы ережелер»;</w:t>
      </w:r>
      <w:r>
        <w:br/>
      </w:r>
      <w:r>
        <w:rPr>
          <w:rFonts w:ascii="Times New Roman"/>
          <w:b w:val="false"/>
          <w:i w:val="false"/>
          <w:color w:val="000000"/>
          <w:sz w:val="28"/>
        </w:rPr>
        <w:t>
      «2. Негізгі ұғымдар»;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 Облигациялардың композиттік индексі – әлемнің дамыған елдерінің кірісі белгіленген бағалы қағаздары индекстерінің мынадай өтімділігі жоғары бағалы қағаздардан тұратын индексі:</w:t>
      </w:r>
      <w:r>
        <w:br/>
      </w:r>
      <w:r>
        <w:rPr>
          <w:rFonts w:ascii="Times New Roman"/>
          <w:b w:val="false"/>
          <w:i w:val="false"/>
          <w:color w:val="000000"/>
          <w:sz w:val="28"/>
        </w:rPr>
        <w:t>
</w:t>
      </w:r>
      <w:r>
        <w:rPr>
          <w:rFonts w:ascii="Times New Roman"/>
          <w:b w:val="false"/>
          <w:i w:val="false"/>
          <w:color w:val="000000"/>
          <w:sz w:val="28"/>
        </w:rPr>
        <w:t>
      Merrill Lynch U.S. Treasuries, 1-5 Yrs (GVQ0) – 30 (отыз) пайыз;</w:t>
      </w:r>
      <w:r>
        <w:br/>
      </w:r>
      <w:r>
        <w:rPr>
          <w:rFonts w:ascii="Times New Roman"/>
          <w:b w:val="false"/>
          <w:i w:val="false"/>
          <w:color w:val="000000"/>
          <w:sz w:val="28"/>
        </w:rPr>
        <w:t>
</w:t>
      </w:r>
      <w:r>
        <w:rPr>
          <w:rFonts w:ascii="Times New Roman"/>
          <w:b w:val="false"/>
          <w:i w:val="false"/>
          <w:color w:val="000000"/>
          <w:sz w:val="28"/>
        </w:rPr>
        <w:t>
      Merrill Lynch 1-5 Year All Euro Government Index, DE, FR, NL, AT, LU, FI (EVDF) – 28 (жиырма сегіз) пайыз;</w:t>
      </w:r>
      <w:r>
        <w:br/>
      </w:r>
      <w:r>
        <w:rPr>
          <w:rFonts w:ascii="Times New Roman"/>
          <w:b w:val="false"/>
          <w:i w:val="false"/>
          <w:color w:val="000000"/>
          <w:sz w:val="28"/>
        </w:rPr>
        <w:t>
</w:t>
      </w:r>
      <w:r>
        <w:rPr>
          <w:rFonts w:ascii="Times New Roman"/>
          <w:b w:val="false"/>
          <w:i w:val="false"/>
          <w:color w:val="000000"/>
          <w:sz w:val="28"/>
        </w:rPr>
        <w:t>
      Merrill Lynch U.K. Gilts, 1-5 Yrs (GVL0) – 10 (он) пайыз;</w:t>
      </w:r>
      <w:r>
        <w:br/>
      </w:r>
      <w:r>
        <w:rPr>
          <w:rFonts w:ascii="Times New Roman"/>
          <w:b w:val="false"/>
          <w:i w:val="false"/>
          <w:color w:val="000000"/>
          <w:sz w:val="28"/>
        </w:rPr>
        <w:t>
</w:t>
      </w:r>
      <w:r>
        <w:rPr>
          <w:rFonts w:ascii="Times New Roman"/>
          <w:b w:val="false"/>
          <w:i w:val="false"/>
          <w:color w:val="000000"/>
          <w:sz w:val="28"/>
        </w:rPr>
        <w:t>
      Merrill Lynch Japanese Governments, 1-5 Yrs (GVY0) – 10 (он) пайыз;</w:t>
      </w:r>
      <w:r>
        <w:br/>
      </w:r>
      <w:r>
        <w:rPr>
          <w:rFonts w:ascii="Times New Roman"/>
          <w:b w:val="false"/>
          <w:i w:val="false"/>
          <w:color w:val="000000"/>
          <w:sz w:val="28"/>
        </w:rPr>
        <w:t>
</w:t>
      </w:r>
      <w:r>
        <w:rPr>
          <w:rFonts w:ascii="Times New Roman"/>
          <w:b w:val="false"/>
          <w:i w:val="false"/>
          <w:color w:val="000000"/>
          <w:sz w:val="28"/>
        </w:rPr>
        <w:t>
      Merrill Lynch Australian Government, 1-5 Yrs (GVT0) – 5 (бес) пайыз;</w:t>
      </w:r>
      <w:r>
        <w:br/>
      </w:r>
      <w:r>
        <w:rPr>
          <w:rFonts w:ascii="Times New Roman"/>
          <w:b w:val="false"/>
          <w:i w:val="false"/>
          <w:color w:val="000000"/>
          <w:sz w:val="28"/>
        </w:rPr>
        <w:t>
</w:t>
      </w:r>
      <w:r>
        <w:rPr>
          <w:rFonts w:ascii="Times New Roman"/>
          <w:b w:val="false"/>
          <w:i w:val="false"/>
          <w:color w:val="000000"/>
          <w:sz w:val="28"/>
        </w:rPr>
        <w:t>
      Merrill Lynch Canadian Governments, 1-5 Yrs (GVC0) – 5 (бес) пайыз;</w:t>
      </w:r>
      <w:r>
        <w:br/>
      </w:r>
      <w:r>
        <w:rPr>
          <w:rFonts w:ascii="Times New Roman"/>
          <w:b w:val="false"/>
          <w:i w:val="false"/>
          <w:color w:val="000000"/>
          <w:sz w:val="28"/>
        </w:rPr>
        <w:t>
</w:t>
      </w:r>
      <w:r>
        <w:rPr>
          <w:rFonts w:ascii="Times New Roman"/>
          <w:b w:val="false"/>
          <w:i w:val="false"/>
          <w:color w:val="000000"/>
          <w:sz w:val="28"/>
        </w:rPr>
        <w:t>
      Merrill Lynch South Korean Government Index, 1-5 Yrs (GSKV) – 5 (бес) пайыз;</w:t>
      </w:r>
      <w:r>
        <w:br/>
      </w:r>
      <w:r>
        <w:rPr>
          <w:rFonts w:ascii="Times New Roman"/>
          <w:b w:val="false"/>
          <w:i w:val="false"/>
          <w:color w:val="000000"/>
          <w:sz w:val="28"/>
        </w:rPr>
        <w:t>
</w:t>
      </w:r>
      <w:r>
        <w:rPr>
          <w:rFonts w:ascii="Times New Roman"/>
          <w:b w:val="false"/>
          <w:i w:val="false"/>
          <w:color w:val="000000"/>
          <w:sz w:val="28"/>
        </w:rPr>
        <w:t>
      Merrill Lynch Hong Kong Government Index, 1-5 Yrs (GVHK) – 3 (үш) пайыз;</w:t>
      </w:r>
      <w:r>
        <w:br/>
      </w:r>
      <w:r>
        <w:rPr>
          <w:rFonts w:ascii="Times New Roman"/>
          <w:b w:val="false"/>
          <w:i w:val="false"/>
          <w:color w:val="000000"/>
          <w:sz w:val="28"/>
        </w:rPr>
        <w:t>
</w:t>
      </w:r>
      <w:r>
        <w:rPr>
          <w:rFonts w:ascii="Times New Roman"/>
          <w:b w:val="false"/>
          <w:i w:val="false"/>
          <w:color w:val="000000"/>
          <w:sz w:val="28"/>
        </w:rPr>
        <w:t>
      Merrill Lynch Singapore Government Index, 1-5 Yrs (GVSP) – 2 (екі) пайыз;</w:t>
      </w:r>
      <w:r>
        <w:br/>
      </w:r>
      <w:r>
        <w:rPr>
          <w:rFonts w:ascii="Times New Roman"/>
          <w:b w:val="false"/>
          <w:i w:val="false"/>
          <w:color w:val="000000"/>
          <w:sz w:val="28"/>
        </w:rPr>
        <w:t>
</w:t>
      </w:r>
      <w:r>
        <w:rPr>
          <w:rFonts w:ascii="Times New Roman"/>
          <w:b w:val="false"/>
          <w:i w:val="false"/>
          <w:color w:val="000000"/>
          <w:sz w:val="28"/>
        </w:rPr>
        <w:t>
      Merrill Lynch Danish Government Index, 1-5 Yrs (GVM0) – 2 (екі) пайыз.</w:t>
      </w:r>
      <w:r>
        <w:br/>
      </w:r>
      <w:r>
        <w:rPr>
          <w:rFonts w:ascii="Times New Roman"/>
          <w:b w:val="false"/>
          <w:i w:val="false"/>
          <w:color w:val="000000"/>
          <w:sz w:val="28"/>
        </w:rPr>
        <w:t>
</w:t>
      </w:r>
      <w:r>
        <w:rPr>
          <w:rFonts w:ascii="Times New Roman"/>
          <w:b w:val="false"/>
          <w:i w:val="false"/>
          <w:color w:val="000000"/>
          <w:sz w:val="28"/>
        </w:rPr>
        <w:t>
      Осы индексте эталондық бөлуге қайтып келу күнтізбелік тоқсанның соңғы жұмыс күні жүргізіледі. Индекстегі бағалы қағаздар құрамы нарықтық капиталдандыру негізінде ай сайын ауысады. Кірістілік және тәуекел көрсеткіштері күн сайын есептеледі.</w:t>
      </w:r>
      <w:r>
        <w:br/>
      </w:r>
      <w:r>
        <w:rPr>
          <w:rFonts w:ascii="Times New Roman"/>
          <w:b w:val="false"/>
          <w:i w:val="false"/>
          <w:color w:val="000000"/>
          <w:sz w:val="28"/>
        </w:rPr>
        <w:t>
</w:t>
      </w:r>
      <w:r>
        <w:rPr>
          <w:rFonts w:ascii="Times New Roman"/>
          <w:b w:val="false"/>
          <w:i w:val="false"/>
          <w:color w:val="000000"/>
          <w:sz w:val="28"/>
        </w:rPr>
        <w:t>
      13. Кредиттік рейтинг – қаржы құралдары бойынша кредиттік тәуекел деңгейінің Standard and Poor’s Financial Services LLC (бұдан әрі – Standard &amp; Poor’s) және Moody’s Investors Services (бұдан әрі – Moody’s) халықаралық рейтингілік агенттіктер беретін көрсеткіші. Кредиттік рейтингілер кестеде осы Ереженің 1-қосымшасына сәйкес кредиттік тәуекелдің ұлғаюына қарай орналастырылады.»;</w:t>
      </w:r>
      <w:r>
        <w:br/>
      </w:r>
      <w:r>
        <w:rPr>
          <w:rFonts w:ascii="Times New Roman"/>
          <w:b w:val="false"/>
          <w:i w:val="false"/>
          <w:color w:val="000000"/>
          <w:sz w:val="28"/>
        </w:rPr>
        <w:t>
</w:t>
      </w:r>
      <w:r>
        <w:rPr>
          <w:rFonts w:ascii="Times New Roman"/>
          <w:b w:val="false"/>
          <w:i w:val="false"/>
          <w:color w:val="000000"/>
          <w:sz w:val="28"/>
        </w:rPr>
        <w:t>
      мынадай мазмұндағы 16-1-тармақпен толықтырылсын:</w:t>
      </w:r>
      <w:r>
        <w:br/>
      </w:r>
      <w:r>
        <w:rPr>
          <w:rFonts w:ascii="Times New Roman"/>
          <w:b w:val="false"/>
          <w:i w:val="false"/>
          <w:color w:val="000000"/>
          <w:sz w:val="28"/>
        </w:rPr>
        <w:t>
      «16-1. Туынды құралдар – форвард, своп мәмілелері, форвардтық пайыздық мөлшерлеме (ФРА) туралы келісім, опцион, фьючерс және осы мәмілелердің қиыстырылуынан тұратын басқа да операциялар.»;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«3. Тұрақтандыру және жинақ портфельдерін басқару жөніндегі жалпы стратегия»;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«Осы Ережеде көзделген шектеулер кірістілік пен тәуекелдер көрсеткіштерін есептегенде ескерілмейтін қазақстандық қаржы құралдарына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«34. Депозиттер (салымдар) A1 (Standard &amp; Poor’s)/P1 (Moody’s)төмен емес қысқа мерзімді кредиттік рейтингісі және A (Standard &amp; Poor’s)/A2 (Moody’s) төмен емес ұзақ мерзімді кредиттік рейтингісі бар банктерде ғана орналастырылуы мүмкін. Депозиттердің (салымдардың) ең көп мерзімі – 1 (бір) ай.»;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5-тараулардың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«4. Тұрақтандыру портфелінің негізгі өлшемдері»;</w:t>
      </w:r>
      <w:r>
        <w:br/>
      </w:r>
      <w:r>
        <w:rPr>
          <w:rFonts w:ascii="Times New Roman"/>
          <w:b w:val="false"/>
          <w:i w:val="false"/>
          <w:color w:val="000000"/>
          <w:sz w:val="28"/>
        </w:rPr>
        <w:t>
</w:t>
      </w:r>
      <w:r>
        <w:rPr>
          <w:rFonts w:ascii="Times New Roman"/>
          <w:b w:val="false"/>
          <w:i w:val="false"/>
          <w:color w:val="000000"/>
          <w:sz w:val="28"/>
        </w:rPr>
        <w:t>
      «5. Жинақ портфелінің өлшемдері»;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«47. Жинақ портфелінің кірістілігі ауытқуының эталондық портфель кірістілігінен күтілетін өзгермелілігі (tracking error) 2 (екі) пайыздан аспауы тиіс. Нарық жағдайында, осы Ереженің 46-тармағында көрсетілген эталондық портфельден ауытқу 10 (он) пайыздан астам болған кезде, жинақ портфелінің кірістілігі ауытқуының өзгермелілік көрсеткіші Қордың Уәкілетті өкілінің рұқсатымен 2 (екі) пайыздан асуы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«Ақша нарығының корпоративтік бағалы қағаздарының ең төменгі қысқа мерзімді кредиттік рейтингісі – А2 (Standard &amp; Poor’s)/P3 (Moody’s).»;</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«53. Жинақ портфелінің акциялары портфелінің активтері (бұдан әрі – акциялар портфелі) жай және артықшылықты акцияларға, акциялар портфелінің эталондық портфеліне немесе оның секторларындағы құрамдас бөліктерге негізделген индекстерге, туынды қаржы құралдарына, сондай-ақ қолма-қол ақшаға инвестициялануы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8-тараулардың</w:t>
      </w:r>
      <w:r>
        <w:rPr>
          <w:rFonts w:ascii="Times New Roman"/>
          <w:b w:val="false"/>
          <w:i w:val="false"/>
          <w:color w:val="000000"/>
          <w:sz w:val="28"/>
        </w:rPr>
        <w:t xml:space="preserve">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Сыртқы басқарушыларды таңдау кезіндегі шектеулер»;</w:t>
      </w:r>
      <w:r>
        <w:br/>
      </w:r>
      <w:r>
        <w:rPr>
          <w:rFonts w:ascii="Times New Roman"/>
          <w:b w:val="false"/>
          <w:i w:val="false"/>
          <w:color w:val="000000"/>
          <w:sz w:val="28"/>
        </w:rPr>
        <w:t>
</w:t>
      </w:r>
      <w:r>
        <w:rPr>
          <w:rFonts w:ascii="Times New Roman"/>
          <w:b w:val="false"/>
          <w:i w:val="false"/>
          <w:color w:val="000000"/>
          <w:sz w:val="28"/>
        </w:rPr>
        <w:t>
      «7. Кастодиандарды таңдау кезіндегі шектеулер»;</w:t>
      </w:r>
      <w:r>
        <w:br/>
      </w:r>
      <w:r>
        <w:rPr>
          <w:rFonts w:ascii="Times New Roman"/>
          <w:b w:val="false"/>
          <w:i w:val="false"/>
          <w:color w:val="000000"/>
          <w:sz w:val="28"/>
        </w:rPr>
        <w:t>
</w:t>
      </w:r>
      <w:r>
        <w:rPr>
          <w:rFonts w:ascii="Times New Roman"/>
          <w:b w:val="false"/>
          <w:i w:val="false"/>
          <w:color w:val="000000"/>
          <w:sz w:val="28"/>
        </w:rPr>
        <w:t>
      «8. Құрылымдық өнімдерді пайдалану»;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«69. Құрылымдық өнімнің ұзақ мерзімді кредиттік рейтингісі А- (Standard &amp; Poor’s) немесе А3 (Moody’s) төмен болмауы, ал қысқа мерзімдісі – А-1 (Standard &amp; Poor’s) немесе Р-1 (Moody’s) төмен болмауы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«9. Есептілік»;</w:t>
      </w:r>
      <w:r>
        <w:br/>
      </w:r>
      <w:r>
        <w:rPr>
          <w:rFonts w:ascii="Times New Roman"/>
          <w:b w:val="false"/>
          <w:i w:val="false"/>
          <w:color w:val="000000"/>
          <w:sz w:val="28"/>
        </w:rPr>
        <w:t>
</w:t>
      </w:r>
      <w:r>
        <w:rPr>
          <w:rFonts w:ascii="Times New Roman"/>
          <w:b w:val="false"/>
          <w:i w:val="false"/>
          <w:color w:val="000000"/>
          <w:sz w:val="28"/>
        </w:rPr>
        <w:t>
      мынадай мазмұндағы 10-тараумен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10. Кредиттік тәуекел лимиттері</w:t>
      </w:r>
      <w:r>
        <w:br/>
      </w:r>
      <w:r>
        <w:rPr>
          <w:rFonts w:ascii="Times New Roman"/>
          <w:b w:val="false"/>
          <w:i w:val="false"/>
          <w:color w:val="000000"/>
          <w:sz w:val="28"/>
        </w:rPr>
        <w:t>
</w:t>
      </w:r>
      <w:r>
        <w:rPr>
          <w:rFonts w:ascii="Times New Roman"/>
          <w:b w:val="false"/>
          <w:i w:val="false"/>
          <w:color w:val="000000"/>
          <w:sz w:val="28"/>
        </w:rPr>
        <w:t>
      72. Ұлттық Банк Қорды сенімгерлік басқару кезінде инвестициялық операцияларды жүзеге асырған кезде тізбесін Ұлттық Банк айқындайтын қарсы әріптестермен операциялар жүргізеді. Қарсы әріптестерге арналған кредиттік тәуекел лимитінің ең көп мөлшері Ұлттық Банктің қарсы әріптестерімен және кастодиандарымен операциялар бойынша кредиттік тәуекелді басқару тәртібін реттейтін нормативтік құқықтық актіге сәйкес белгіленеді.</w:t>
      </w:r>
      <w:r>
        <w:br/>
      </w:r>
      <w:r>
        <w:rPr>
          <w:rFonts w:ascii="Times New Roman"/>
          <w:b w:val="false"/>
          <w:i w:val="false"/>
          <w:color w:val="000000"/>
          <w:sz w:val="28"/>
        </w:rPr>
        <w:t>
</w:t>
      </w:r>
      <w:r>
        <w:rPr>
          <w:rFonts w:ascii="Times New Roman"/>
          <w:b w:val="false"/>
          <w:i w:val="false"/>
          <w:color w:val="000000"/>
          <w:sz w:val="28"/>
        </w:rPr>
        <w:t>
      73. Қарсы әріптестерге арналған лимиттер қарсы әріптестердің кінәсінен жасалатын мәмілелер бойынша есеп айырысуларды аяқтаудың кешігуіне байланысты жағдайларды қоспағанда, екі жұмыс күні ішінде немесе мерзімді мәмілелерді жапқан күннен кейін келесі жұмыс күні Ұлттық Банктің қарсы әріптестерімен және кастодиандарымен операциялар бойынша кредиттік тәуекелді басқару тәртібін реттейтін нормативтік құқықтық актіге сәйкес белгіленген шектеулерге сәйкес келтіріледі. Бағалы қағаздардың ұзақ мерзімді кредиттік рейтингісін, сондай-ақ туынды құралдармен аяқталмаған операциялар бойынша қарсы әріптестердің кредиттік рейтингісін осы Ережеде белгіленген деңгейден төмен төмендеткен жағдайда, рейтинг төмендетілген күннен бастап 6 (алты) ай ішінде осы ұстанымдар мен мәмілелерді осы Ереженің талаптарына сәйкес келтіру бойынша шаралар қабылданады.</w:t>
      </w:r>
      <w:r>
        <w:br/>
      </w:r>
      <w:r>
        <w:rPr>
          <w:rFonts w:ascii="Times New Roman"/>
          <w:b w:val="false"/>
          <w:i w:val="false"/>
          <w:color w:val="000000"/>
          <w:sz w:val="28"/>
        </w:rPr>
        <w:t>
</w:t>
      </w:r>
      <w:r>
        <w:rPr>
          <w:rFonts w:ascii="Times New Roman"/>
          <w:b w:val="false"/>
          <w:i w:val="false"/>
          <w:color w:val="000000"/>
          <w:sz w:val="28"/>
        </w:rPr>
        <w:t>
      74. Сыртқы басқаруға берілген активтермен операциялар ең аз кредиттік рейтингісі осы Ережеде белгіленген шектеулерге сәйкес келетін қарсы әріптестермен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2012 жылғы 1 маусымнан бастап туындайтын қатынастарға қолданылады.</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Министр___________Б.Жәмішов</w:t>
      </w:r>
      <w:r>
        <w:br/>
      </w:r>
      <w:r>
        <w:rPr>
          <w:rFonts w:ascii="Times New Roman"/>
          <w:b w:val="false"/>
          <w:i w:val="false"/>
          <w:color w:val="000000"/>
          <w:sz w:val="28"/>
        </w:rPr>
        <w:t>
</w:t>
      </w:r>
      <w:r>
        <w:rPr>
          <w:rFonts w:ascii="Times New Roman"/>
          <w:b w:val="false"/>
          <w:i/>
          <w:color w:val="000000"/>
          <w:sz w:val="28"/>
        </w:rPr>
        <w:t>      2012 жылғы 2 маусым</w:t>
      </w:r>
    </w:p>
    <w:bookmarkStart w:name="z52"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2012 жылғы 28 сәуірдегі</w:t>
      </w:r>
      <w:r>
        <w:br/>
      </w:r>
      <w:r>
        <w:rPr>
          <w:rFonts w:ascii="Times New Roman"/>
          <w:b w:val="false"/>
          <w:i w:val="false"/>
          <w:color w:val="000000"/>
          <w:sz w:val="28"/>
        </w:rPr>
        <w:t xml:space="preserve">
№ 161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Ұлттық қорының инвестициялық</w:t>
      </w:r>
      <w:r>
        <w:br/>
      </w:r>
      <w:r>
        <w:rPr>
          <w:rFonts w:ascii="Times New Roman"/>
          <w:b w:val="false"/>
          <w:i w:val="false"/>
          <w:color w:val="000000"/>
          <w:sz w:val="28"/>
        </w:rPr>
        <w:t>
операцияларын жүзеге асыру</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3-қосымша       </w:t>
      </w:r>
    </w:p>
    <w:bookmarkStart w:name="z53" w:id="2"/>
    <w:p>
      <w:pPr>
        <w:spacing w:after="0"/>
        <w:ind w:left="0"/>
        <w:jc w:val="left"/>
      </w:pPr>
      <w:r>
        <w:rPr>
          <w:rFonts w:ascii="Times New Roman"/>
          <w:b/>
          <w:i w:val="false"/>
          <w:color w:val="000000"/>
        </w:rPr>
        <w:t xml:space="preserve"> 
Кiрiсi белгiленген бағалы қағаздар портфелiнiң және жинақ</w:t>
      </w:r>
      <w:r>
        <w:br/>
      </w:r>
      <w:r>
        <w:rPr>
          <w:rFonts w:ascii="Times New Roman"/>
          <w:b/>
          <w:i w:val="false"/>
          <w:color w:val="000000"/>
        </w:rPr>
        <w:t>
портфелiнiң құрамындағы акциялар портфелiнiң нарықтық құнының</w:t>
      </w:r>
      <w:r>
        <w:br/>
      </w:r>
      <w:r>
        <w:rPr>
          <w:rFonts w:ascii="Times New Roman"/>
          <w:b/>
          <w:i w:val="false"/>
          <w:color w:val="000000"/>
        </w:rPr>
        <w:t>
жол берiлетiн ауытқулары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3"/>
        <w:gridCol w:w="2853"/>
        <w:gridCol w:w="2753"/>
      </w:tblGrid>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Кiрiсi белгiленген бағалы қағаздар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пайыз</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пайыз</w:t>
            </w:r>
          </w:p>
        </w:tc>
      </w:tr>
      <w:tr>
        <w:trPr>
          <w:trHeight w:val="30" w:hRule="atLeast"/>
        </w:trPr>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пайыз</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пайыз</w:t>
            </w:r>
          </w:p>
        </w:tc>
      </w:tr>
    </w:tbl>
    <w:bookmarkStart w:name="z54" w:id="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2012 жылғы 28 сәуірдегі</w:t>
      </w:r>
      <w:r>
        <w:br/>
      </w:r>
      <w:r>
        <w:rPr>
          <w:rFonts w:ascii="Times New Roman"/>
          <w:b w:val="false"/>
          <w:i w:val="false"/>
          <w:color w:val="000000"/>
          <w:sz w:val="28"/>
        </w:rPr>
        <w:t xml:space="preserve">
№ 161 қаулысына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Ұлттық қорының инвестициялық</w:t>
      </w:r>
      <w:r>
        <w:br/>
      </w:r>
      <w:r>
        <w:rPr>
          <w:rFonts w:ascii="Times New Roman"/>
          <w:b w:val="false"/>
          <w:i w:val="false"/>
          <w:color w:val="000000"/>
          <w:sz w:val="28"/>
        </w:rPr>
        <w:t>
операцияларын жүзеге асыру</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4-қосымша       </w:t>
      </w:r>
    </w:p>
    <w:bookmarkStart w:name="z55" w:id="4"/>
    <w:p>
      <w:pPr>
        <w:spacing w:after="0"/>
        <w:ind w:left="0"/>
        <w:jc w:val="left"/>
      </w:pPr>
      <w:r>
        <w:rPr>
          <w:rFonts w:ascii="Times New Roman"/>
          <w:b/>
          <w:i w:val="false"/>
          <w:color w:val="000000"/>
        </w:rPr>
        <w:t xml:space="preserve"> 
Кiрiсi белгiленген бағалы қағаздар портфелiнiң секторлық</w:t>
      </w:r>
      <w:r>
        <w:br/>
      </w:r>
      <w:r>
        <w:rPr>
          <w:rFonts w:ascii="Times New Roman"/>
          <w:b/>
          <w:i w:val="false"/>
          <w:color w:val="000000"/>
        </w:rPr>
        <w:t>
бөлiнуi</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3"/>
        <w:gridCol w:w="1793"/>
        <w:gridCol w:w="2053"/>
      </w:tblGrid>
      <w:tr>
        <w:trPr>
          <w:trHeight w:val="3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төмен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жоғары </w:t>
            </w:r>
          </w:p>
        </w:tc>
      </w:tr>
      <w:tr>
        <w:trPr>
          <w:trHeight w:val="3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валюта (ағымдағы шоттардағы қалдықтар; келесi жұмыс күнi қайтару мүмкiндiгiмен ақша нарығы қорларына орналастырылған қаражат), эталондық портфельге кiретiн елдердiң мемлекеттiк (тәуелсіз) және агенттiк борыштық мiндеттемелерi</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борыштық міндеттемелері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Эталондық портфельге кiрмейтiн елдердiң мемлекеттiк (тәуелсіз) борыштық мiндеттемелерi, агенттiк борыштық мiндеттемелерi</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Депозиттер (салымдар), оның iшiнде репо операцияларынан депозиттерге орналастырылған қаражат</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құралдар (Tracking Error бойынша шектеумен реттеледi)</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Құрылымдық өнiмдер (MBS, ABS қоспағанда)*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мүлiкке (MBS) және активтерге (ABS) кепiлге салынған бағалы қағаздар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Корпоративтiк және коммерциялық бағалы қағаздар (ECP)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 Ұлттық Қордың Өкілетті өкілінің рұқсатымен.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