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5fc4" w14:textId="4e75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Ұңғымаларды бұрғылаудан эмиссиялардың (өндіріс қалдықтары, сарқынды сулар бөлігінде) түзілу көлемдерін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3 мамырдағы № 129-ө Бұйрығы. Қазақстан Республикасының Әділет министрлігінде 2012 жылы 7 маусымда № 7714 тіркелді</w:t>
      </w:r>
    </w:p>
    <w:p>
      <w:pPr>
        <w:spacing w:after="0"/>
        <w:ind w:left="0"/>
        <w:jc w:val="both"/>
      </w:pPr>
      <w:bookmarkStart w:name="z1" w:id="0"/>
      <w:r>
        <w:rPr>
          <w:rFonts w:ascii="Times New Roman"/>
          <w:b w:val="false"/>
          <w:i w:val="false"/>
          <w:color w:val="000000"/>
          <w:sz w:val="28"/>
        </w:rPr>
        <w:t>
      Қазақстан Республикасы Экологиялық кодексінің 17-бабының </w:t>
      </w:r>
      <w:r>
        <w:rPr>
          <w:rFonts w:ascii="Times New Roman"/>
          <w:b w:val="false"/>
          <w:i w:val="false"/>
          <w:color w:val="000000"/>
          <w:sz w:val="28"/>
        </w:rPr>
        <w:t>38-5)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Ұңғымаларды бұрғылаудан эмиссиялардың (өндіріс қалдықтары, сарқынды сулар бөлігінде) түзілу көлемдерін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Экологиялық заңнама және құқықтық қамтамасыз ету департаменті заңнамамен белгіленген тәртіпте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Экологиялық реттеу және бақылау комитеті заңнамамен белгіленген тәртіпте бұқаралық ақпарат құралдарында оның ресми жариялануын қамтамасыз етсін және осы бұйрықты аумақтық бөлімшелердің және облыстардың, республикалық маңызы бар қаланың және астананың жергілікті атқарушы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М. Мұхамбетов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ортаны қорғау министрінің</w:t>
      </w:r>
      <w:r>
        <w:br/>
      </w:r>
      <w:r>
        <w:rPr>
          <w:rFonts w:ascii="Times New Roman"/>
          <w:b w:val="false"/>
          <w:i w:val="false"/>
          <w:color w:val="000000"/>
          <w:sz w:val="28"/>
        </w:rPr>
        <w:t xml:space="preserve">
2012 жылғы 3 мамырдағы     </w:t>
      </w:r>
      <w:r>
        <w:br/>
      </w:r>
      <w:r>
        <w:rPr>
          <w:rFonts w:ascii="Times New Roman"/>
          <w:b w:val="false"/>
          <w:i w:val="false"/>
          <w:color w:val="000000"/>
          <w:sz w:val="28"/>
        </w:rPr>
        <w:t xml:space="preserve">
№ 129-ө бұйрығымен бекітілген </w:t>
      </w:r>
    </w:p>
    <w:bookmarkEnd w:id="1"/>
    <w:bookmarkStart w:name="z7" w:id="2"/>
    <w:p>
      <w:pPr>
        <w:spacing w:after="0"/>
        <w:ind w:left="0"/>
        <w:jc w:val="left"/>
      </w:pPr>
      <w:r>
        <w:rPr>
          <w:rFonts w:ascii="Times New Roman"/>
          <w:b/>
          <w:i w:val="false"/>
          <w:color w:val="000000"/>
        </w:rPr>
        <w:t xml:space="preserve"> 
Ұңғымаларды бұрғылаудан эмиссиялардың (өндіріс қалдықтары,</w:t>
      </w:r>
      <w:r>
        <w:br/>
      </w:r>
      <w:r>
        <w:rPr>
          <w:rFonts w:ascii="Times New Roman"/>
          <w:b/>
          <w:i w:val="false"/>
          <w:color w:val="000000"/>
        </w:rPr>
        <w:t>
сарқынды сулар бөлігінде) түзілу көлемдерін есептеу әдістемесі</w:t>
      </w:r>
    </w:p>
    <w:bookmarkEnd w:id="2"/>
    <w:bookmarkStart w:name="z8" w:id="3"/>
    <w:p>
      <w:pPr>
        <w:spacing w:after="0"/>
        <w:ind w:left="0"/>
        <w:jc w:val="left"/>
      </w:pPr>
      <w:r>
        <w:rPr>
          <w:rFonts w:ascii="Times New Roman"/>
          <w:b/>
          <w:i w:val="false"/>
          <w:color w:val="000000"/>
        </w:rPr>
        <w:t xml:space="preserve"> 
1. Жалпы ереже</w:t>
      </w:r>
    </w:p>
    <w:bookmarkEnd w:id="3"/>
    <w:bookmarkStart w:name="z9" w:id="4"/>
    <w:p>
      <w:pPr>
        <w:spacing w:after="0"/>
        <w:ind w:left="0"/>
        <w:jc w:val="both"/>
      </w:pPr>
      <w:r>
        <w:rPr>
          <w:rFonts w:ascii="Times New Roman"/>
          <w:b w:val="false"/>
          <w:i w:val="false"/>
          <w:color w:val="000000"/>
          <w:sz w:val="28"/>
        </w:rPr>
        <w:t>
      1. Осы Ұңғымаларды бұрғылаудан эмиссиялардың (өндіріс қалдықтары, сарқынды сулар бөлігінде) түзілу көлемдерін есептеу әдістемесі (бұдан әрі - Әдістеме) ұңғымаларды бұрғылаудан өндіріс қалдықтары мен сарқынды сулардың түзілу көлемдерін есептеуге бірыңғай әдіснамалық тәсілді құру, сондай-ақ қоршаған ортаға эмиссияларды одан кейінгі анықтау мақсатында әзірленген.</w:t>
      </w:r>
      <w:r>
        <w:br/>
      </w:r>
      <w:r>
        <w:rPr>
          <w:rFonts w:ascii="Times New Roman"/>
          <w:b w:val="false"/>
          <w:i w:val="false"/>
          <w:color w:val="000000"/>
          <w:sz w:val="28"/>
        </w:rPr>
        <w:t>
</w:t>
      </w:r>
      <w:r>
        <w:rPr>
          <w:rFonts w:ascii="Times New Roman"/>
          <w:b w:val="false"/>
          <w:i w:val="false"/>
          <w:color w:val="000000"/>
          <w:sz w:val="28"/>
        </w:rPr>
        <w:t>
      2. Ұңғымаларды бұрғылау Қазақстан Республикасы Экологиялық кодекспен белгіленген экологиялық талаптарға сәйкес жүзеге асырылуы тиіс.</w:t>
      </w:r>
    </w:p>
    <w:bookmarkEnd w:id="4"/>
    <w:bookmarkStart w:name="z11" w:id="5"/>
    <w:p>
      <w:pPr>
        <w:spacing w:after="0"/>
        <w:ind w:left="0"/>
        <w:jc w:val="left"/>
      </w:pPr>
      <w:r>
        <w:rPr>
          <w:rFonts w:ascii="Times New Roman"/>
          <w:b/>
          <w:i w:val="false"/>
          <w:color w:val="000000"/>
        </w:rPr>
        <w:t xml:space="preserve"> 
2. Өндіріс қалдықтарының түзілу көлемдерін есептеу әдісі</w:t>
      </w:r>
    </w:p>
    <w:bookmarkEnd w:id="5"/>
    <w:bookmarkStart w:name="z12" w:id="6"/>
    <w:p>
      <w:pPr>
        <w:spacing w:after="0"/>
        <w:ind w:left="0"/>
        <w:jc w:val="both"/>
      </w:pPr>
      <w:r>
        <w:rPr>
          <w:rFonts w:ascii="Times New Roman"/>
          <w:b w:val="false"/>
          <w:i w:val="false"/>
          <w:color w:val="000000"/>
          <w:sz w:val="28"/>
        </w:rPr>
        <w:t>
      3. Барлық ұңғыманың бұрғыланған жынысының жиынтық көлемі мына формула бойынша есептеледі: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3"/>
        <w:gridCol w:w="2213"/>
        <w:gridCol w:w="2233"/>
      </w:tblGrid>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ж</w:t>
            </w:r>
            <w:r>
              <w:rPr>
                <w:rFonts w:ascii="Times New Roman"/>
                <w:b w:val="false"/>
                <w:i w:val="false"/>
                <w:color w:val="000000"/>
                <w:sz w:val="20"/>
              </w:rPr>
              <w:t xml:space="preserve">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0"/>
              </w:rPr>
              <w:t>V</w:t>
            </w:r>
            <w:r>
              <w:rPr>
                <w:rFonts w:ascii="Times New Roman"/>
                <w:b w:val="false"/>
                <w:i w:val="false"/>
                <w:color w:val="000000"/>
                <w:vertAlign w:val="subscript"/>
              </w:rPr>
              <w:t>ж.ара.,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3" w:id="7"/>
    <w:p>
      <w:pPr>
        <w:spacing w:after="0"/>
        <w:ind w:left="0"/>
        <w:jc w:val="both"/>
      </w:pPr>
      <w:r>
        <w:rPr>
          <w:rFonts w:ascii="Times New Roman"/>
          <w:b w:val="false"/>
          <w:i w:val="false"/>
          <w:color w:val="000000"/>
          <w:sz w:val="28"/>
        </w:rPr>
        <w:t>
      мұнда V</w:t>
      </w:r>
      <w:r>
        <w:rPr>
          <w:rFonts w:ascii="Times New Roman"/>
          <w:b w:val="false"/>
          <w:i w:val="false"/>
          <w:color w:val="000000"/>
          <w:vertAlign w:val="subscript"/>
        </w:rPr>
        <w:t>ж.ара.</w:t>
      </w:r>
      <w:r>
        <w:rPr>
          <w:rFonts w:ascii="Times New Roman"/>
          <w:b w:val="false"/>
          <w:i w:val="false"/>
          <w:color w:val="000000"/>
          <w:sz w:val="28"/>
        </w:rPr>
        <w:t xml:space="preserve"> – ұңғыма аралығының бұрғыланған жыныс көлемі, м</w:t>
      </w:r>
      <w:r>
        <w:rPr>
          <w:rFonts w:ascii="Times New Roman"/>
          <w:b w:val="false"/>
          <w:i w:val="false"/>
          <w:color w:val="000000"/>
          <w:vertAlign w:val="superscript"/>
        </w:rPr>
        <w:t>3</w:t>
      </w:r>
      <w:r>
        <w:rPr>
          <w:rFonts w:ascii="Times New Roman"/>
          <w:b w:val="false"/>
          <w:i w:val="false"/>
          <w:color w:val="000000"/>
          <w:sz w:val="28"/>
        </w:rPr>
        <w:t>.</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3"/>
        <w:gridCol w:w="2213"/>
        <w:gridCol w:w="2233"/>
      </w:tblGrid>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ж.ара.</w:t>
            </w:r>
            <w:r>
              <w:rPr>
                <w:rFonts w:ascii="Times New Roman"/>
                <w:b w:val="false"/>
                <w:i w:val="false"/>
                <w:color w:val="000000"/>
                <w:sz w:val="20"/>
              </w:rPr>
              <w:t xml:space="preserve"> = К</w:t>
            </w:r>
            <w:r>
              <w:rPr>
                <w:rFonts w:ascii="Times New Roman"/>
                <w:b w:val="false"/>
                <w:i w:val="false"/>
                <w:color w:val="000000"/>
                <w:vertAlign w:val="subscript"/>
              </w:rPr>
              <w:t>1</w:t>
            </w:r>
            <w:r>
              <w:rPr>
                <w:rFonts w:ascii="Times New Roman"/>
                <w:b w:val="false"/>
                <w:i w:val="false"/>
                <w:color w:val="000000"/>
                <w:sz w:val="20"/>
              </w:rPr>
              <w:t xml:space="preserve"> х </w:t>
            </w:r>
            <w:r>
              <w:rPr>
                <w:rFonts w:ascii="Times New Roman"/>
                <w:b w:val="false"/>
                <w:i/>
                <w:color w:val="000000"/>
                <w:sz w:val="20"/>
              </w:rPr>
              <w:t>п</w:t>
            </w:r>
            <w:r>
              <w:rPr>
                <w:rFonts w:ascii="Times New Roman"/>
                <w:b w:val="false"/>
                <w:i w:val="false"/>
                <w:color w:val="000000"/>
                <w:sz w:val="20"/>
              </w:rPr>
              <w:t xml:space="preserve"> х R</w:t>
            </w:r>
            <w:r>
              <w:rPr>
                <w:rFonts w:ascii="Times New Roman"/>
                <w:b w:val="false"/>
                <w:i w:val="false"/>
                <w:color w:val="000000"/>
                <w:vertAlign w:val="superscript"/>
              </w:rPr>
              <w:t>2</w:t>
            </w:r>
            <w:r>
              <w:rPr>
                <w:rFonts w:ascii="Times New Roman"/>
                <w:b w:val="false"/>
                <w:i w:val="false"/>
                <w:color w:val="000000"/>
                <w:sz w:val="20"/>
              </w:rPr>
              <w:t xml:space="preserve"> х L,</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14" w:id="8"/>
    <w:p>
      <w:pPr>
        <w:spacing w:after="0"/>
        <w:ind w:left="0"/>
        <w:jc w:val="both"/>
      </w:pPr>
      <w:r>
        <w:rPr>
          <w:rFonts w:ascii="Times New Roman"/>
          <w:b w:val="false"/>
          <w:i w:val="false"/>
          <w:color w:val="000000"/>
          <w:sz w:val="28"/>
        </w:rPr>
        <w:t>
      мұнда К</w:t>
      </w:r>
      <w:r>
        <w:rPr>
          <w:rFonts w:ascii="Times New Roman"/>
          <w:b w:val="false"/>
          <w:i w:val="false"/>
          <w:color w:val="000000"/>
          <w:vertAlign w:val="subscript"/>
        </w:rPr>
        <w:t>1</w:t>
      </w:r>
      <w:r>
        <w:rPr>
          <w:rFonts w:ascii="Times New Roman"/>
          <w:b w:val="false"/>
          <w:i w:val="false"/>
          <w:color w:val="000000"/>
          <w:sz w:val="28"/>
        </w:rPr>
        <w:t xml:space="preserve"> – кеуектілік коэффициенті (белгілі бір жыныс көлеміндегі барлық кеуектер көлемінің осы жыныс көлеміне қатынасымен көрсетілген кеуектілік шамасы);</w:t>
      </w:r>
      <w:r>
        <w:br/>
      </w:r>
      <w:r>
        <w:rPr>
          <w:rFonts w:ascii="Times New Roman"/>
          <w:b w:val="false"/>
          <w:i w:val="false"/>
          <w:color w:val="000000"/>
          <w:sz w:val="28"/>
        </w:rPr>
        <w:t>
</w:t>
      </w:r>
      <w:r>
        <w:rPr>
          <w:rFonts w:ascii="Times New Roman"/>
          <w:b w:val="false"/>
          <w:i w:val="false"/>
          <w:color w:val="000000"/>
          <w:sz w:val="28"/>
        </w:rPr>
        <w:t>
      R – ұңғыма аралығының радиусі, м;</w:t>
      </w:r>
      <w:r>
        <w:br/>
      </w:r>
      <w:r>
        <w:rPr>
          <w:rFonts w:ascii="Times New Roman"/>
          <w:b w:val="false"/>
          <w:i w:val="false"/>
          <w:color w:val="000000"/>
          <w:sz w:val="28"/>
        </w:rPr>
        <w:t>
</w:t>
      </w:r>
      <w:r>
        <w:rPr>
          <w:rFonts w:ascii="Times New Roman"/>
          <w:b w:val="false"/>
          <w:i w:val="false"/>
          <w:color w:val="000000"/>
          <w:sz w:val="28"/>
        </w:rPr>
        <w:t>
      L – ұңғыма аралығының тереңдігі, м.</w:t>
      </w:r>
      <w:r>
        <w:br/>
      </w:r>
      <w:r>
        <w:rPr>
          <w:rFonts w:ascii="Times New Roman"/>
          <w:b w:val="false"/>
          <w:i w:val="false"/>
          <w:color w:val="000000"/>
          <w:sz w:val="28"/>
        </w:rPr>
        <w:t>
</w:t>
      </w:r>
      <w:r>
        <w:rPr>
          <w:rFonts w:ascii="Times New Roman"/>
          <w:b w:val="false"/>
          <w:i w:val="false"/>
          <w:color w:val="000000"/>
          <w:sz w:val="28"/>
        </w:rPr>
        <w:t>
      4. Бұрғылау шламының көлемі мына формула бойынша анықталады: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3"/>
        <w:gridCol w:w="2213"/>
        <w:gridCol w:w="2233"/>
      </w:tblGrid>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ш</w:t>
            </w:r>
            <w:r>
              <w:rPr>
                <w:rFonts w:ascii="Times New Roman"/>
                <w:b w:val="false"/>
                <w:i w:val="false"/>
                <w:color w:val="000000"/>
                <w:sz w:val="20"/>
              </w:rPr>
              <w:t xml:space="preserve"> = V</w:t>
            </w:r>
            <w:r>
              <w:rPr>
                <w:rFonts w:ascii="Times New Roman"/>
                <w:b w:val="false"/>
                <w:i w:val="false"/>
                <w:color w:val="000000"/>
                <w:vertAlign w:val="subscript"/>
              </w:rPr>
              <w:t>ж</w:t>
            </w:r>
            <w:r>
              <w:rPr>
                <w:rFonts w:ascii="Times New Roman"/>
                <w:b w:val="false"/>
                <w:i w:val="false"/>
                <w:color w:val="000000"/>
                <w:sz w:val="20"/>
              </w:rPr>
              <w:t xml:space="preserve"> х 1,2,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8" w:id="9"/>
    <w:p>
      <w:pPr>
        <w:spacing w:after="0"/>
        <w:ind w:left="0"/>
        <w:jc w:val="both"/>
      </w:pPr>
      <w:r>
        <w:rPr>
          <w:rFonts w:ascii="Times New Roman"/>
          <w:b w:val="false"/>
          <w:i w:val="false"/>
          <w:color w:val="000000"/>
          <w:sz w:val="28"/>
        </w:rPr>
        <w:t>
      мұнда 1,2 – бұрғыланған жыныстың босауын ескеретін коэффициент, геологиялық кеніштің ерекшеліктерін ескере отырып өзгеруі мүмкін және есептеулермен негізделеді.</w:t>
      </w:r>
      <w:r>
        <w:br/>
      </w:r>
      <w:r>
        <w:rPr>
          <w:rFonts w:ascii="Times New Roman"/>
          <w:b w:val="false"/>
          <w:i w:val="false"/>
          <w:color w:val="000000"/>
          <w:sz w:val="28"/>
        </w:rPr>
        <w:t>
</w:t>
      </w:r>
      <w:r>
        <w:rPr>
          <w:rFonts w:ascii="Times New Roman"/>
          <w:b w:val="false"/>
          <w:i w:val="false"/>
          <w:color w:val="000000"/>
          <w:sz w:val="28"/>
        </w:rPr>
        <w:t>
      5. Бұрғылау шламының массасы мына формула бойынша есептеледі: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3"/>
        <w:gridCol w:w="2213"/>
        <w:gridCol w:w="2233"/>
      </w:tblGrid>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ш</w:t>
            </w:r>
            <w:r>
              <w:rPr>
                <w:rFonts w:ascii="Times New Roman"/>
                <w:b w:val="false"/>
                <w:i w:val="false"/>
                <w:color w:val="000000"/>
                <w:sz w:val="20"/>
              </w:rPr>
              <w:t xml:space="preserve"> = V</w:t>
            </w:r>
            <w:r>
              <w:rPr>
                <w:rFonts w:ascii="Times New Roman"/>
                <w:b w:val="false"/>
                <w:i w:val="false"/>
                <w:color w:val="000000"/>
                <w:vertAlign w:val="subscript"/>
              </w:rPr>
              <w:t>ш</w:t>
            </w:r>
            <w:r>
              <w:rPr>
                <w:rFonts w:ascii="Times New Roman"/>
                <w:b w:val="false"/>
                <w:i w:val="false"/>
                <w:color w:val="000000"/>
                <w:sz w:val="20"/>
              </w:rPr>
              <w:t xml:space="preserve"> х </w:t>
            </w:r>
            <w:r>
              <w:drawing>
                <wp:inline distT="0" distB="0" distL="0" distR="0">
                  <wp:extent cx="139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 cy="177800"/>
                          </a:xfrm>
                          <a:prstGeom prst="rect">
                            <a:avLst/>
                          </a:prstGeom>
                        </pic:spPr>
                      </pic:pic>
                    </a:graphicData>
                  </a:graphic>
                </wp:inline>
              </w:drawing>
            </w: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20" w:id="10"/>
    <w:p>
      <w:pPr>
        <w:spacing w:after="0"/>
        <w:ind w:left="0"/>
        <w:jc w:val="both"/>
      </w:pPr>
      <w:r>
        <w:rPr>
          <w:rFonts w:ascii="Times New Roman"/>
          <w:b w:val="false"/>
          <w:i w:val="false"/>
          <w:color w:val="000000"/>
          <w:sz w:val="28"/>
        </w:rPr>
        <w:t xml:space="preserve">
      мұнда </w:t>
      </w:r>
      <w:r>
        <w:drawing>
          <wp:inline distT="0" distB="0" distL="0" distR="0">
            <wp:extent cx="139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9700" cy="177800"/>
                    </a:xfrm>
                    <a:prstGeom prst="rect">
                      <a:avLst/>
                    </a:prstGeom>
                  </pic:spPr>
                </pic:pic>
              </a:graphicData>
            </a:graphic>
          </wp:inline>
        </w:drawing>
      </w:r>
      <w:r>
        <w:rPr>
          <w:rFonts w:ascii="Times New Roman"/>
          <w:b w:val="false"/>
          <w:i w:val="false"/>
          <w:color w:val="000000"/>
          <w:sz w:val="28"/>
        </w:rPr>
        <w:t>- бұрғылау шламының көлемді салмағы, т/м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Пайдаланылған бұрғылау ерітіндісінің көлемі мына формула бойынша есептеледі: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2"/>
        <w:gridCol w:w="2298"/>
        <w:gridCol w:w="2320"/>
      </w:tblGrid>
      <w:tr>
        <w:trPr>
          <w:trHeight w:val="30" w:hRule="atLeast"/>
        </w:trPr>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 xml:space="preserve">ПБЕ </w:t>
            </w:r>
            <w:r>
              <w:rPr>
                <w:rFonts w:ascii="Times New Roman"/>
                <w:b w:val="false"/>
                <w:i w:val="false"/>
                <w:color w:val="000000"/>
                <w:sz w:val="20"/>
              </w:rPr>
              <w:t>= 1,2 х V</w:t>
            </w:r>
            <w:r>
              <w:rPr>
                <w:rFonts w:ascii="Times New Roman"/>
                <w:b w:val="false"/>
                <w:i w:val="false"/>
                <w:color w:val="000000"/>
                <w:vertAlign w:val="subscript"/>
              </w:rPr>
              <w:t>ж</w:t>
            </w:r>
            <w:r>
              <w:rPr>
                <w:rFonts w:ascii="Times New Roman"/>
                <w:b w:val="false"/>
                <w:i w:val="false"/>
                <w:color w:val="000000"/>
                <w:sz w:val="20"/>
              </w:rPr>
              <w:t xml:space="preserve"> х К</w:t>
            </w:r>
            <w:r>
              <w:rPr>
                <w:rFonts w:ascii="Times New Roman"/>
                <w:b w:val="false"/>
                <w:i w:val="false"/>
                <w:color w:val="000000"/>
                <w:vertAlign w:val="subscript"/>
              </w:rPr>
              <w:t>1</w:t>
            </w:r>
            <w:r>
              <w:rPr>
                <w:rFonts w:ascii="Times New Roman"/>
                <w:b w:val="false"/>
                <w:i w:val="false"/>
                <w:color w:val="000000"/>
                <w:sz w:val="20"/>
              </w:rPr>
              <w:t>+0,5 х V</w:t>
            </w:r>
            <w:r>
              <w:rPr>
                <w:rFonts w:ascii="Times New Roman"/>
                <w:b w:val="false"/>
                <w:i w:val="false"/>
                <w:color w:val="000000"/>
                <w:vertAlign w:val="subscript"/>
              </w:rPr>
              <w:t>ж</w:t>
            </w:r>
            <w:r>
              <w:rPr>
                <w:rFonts w:ascii="Times New Roman"/>
                <w:b w:val="false"/>
                <w:i w:val="false"/>
                <w:color w:val="000000"/>
                <w:sz w:val="20"/>
              </w:rPr>
              <w:t>,</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2" w:id="11"/>
    <w:p>
      <w:pPr>
        <w:spacing w:after="0"/>
        <w:ind w:left="0"/>
        <w:jc w:val="both"/>
      </w:pPr>
      <w:r>
        <w:rPr>
          <w:rFonts w:ascii="Times New Roman"/>
          <w:b w:val="false"/>
          <w:i w:val="false"/>
          <w:color w:val="000000"/>
          <w:sz w:val="28"/>
        </w:rPr>
        <w:t>
      мұнда К</w:t>
      </w:r>
      <w:r>
        <w:rPr>
          <w:rFonts w:ascii="Times New Roman"/>
          <w:b w:val="false"/>
          <w:i w:val="false"/>
          <w:color w:val="000000"/>
          <w:vertAlign w:val="subscript"/>
        </w:rPr>
        <w:t>1</w:t>
      </w:r>
      <w:r>
        <w:rPr>
          <w:rFonts w:ascii="Times New Roman"/>
          <w:b w:val="false"/>
          <w:i w:val="false"/>
          <w:color w:val="000000"/>
          <w:sz w:val="28"/>
        </w:rPr>
        <w:t xml:space="preserve"> – дірілдегіш елеуіште, құм ажыратқышта және тұнба ажыратқышта тазарту кезінде шламмен бөлінетін бұрғылау ерітіндісінің шығындарын ескеретін коэффициент ([1] сәйкес К</w:t>
      </w:r>
      <w:r>
        <w:rPr>
          <w:rFonts w:ascii="Times New Roman"/>
          <w:b w:val="false"/>
          <w:i w:val="false"/>
          <w:color w:val="000000"/>
          <w:vertAlign w:val="subscript"/>
        </w:rPr>
        <w:t xml:space="preserve">1 </w:t>
      </w:r>
      <w:r>
        <w:rPr>
          <w:rFonts w:ascii="Times New Roman"/>
          <w:b w:val="false"/>
          <w:i w:val="false"/>
          <w:color w:val="000000"/>
          <w:sz w:val="28"/>
        </w:rPr>
        <w:t>= 1,052);</w:t>
      </w:r>
      <w:r>
        <w:br/>
      </w:r>
      <w:r>
        <w:rPr>
          <w:rFonts w:ascii="Times New Roman"/>
          <w:b w:val="false"/>
          <w:i w:val="false"/>
          <w:color w:val="000000"/>
          <w:sz w:val="28"/>
        </w:rPr>
        <w:t>
</w:t>
      </w:r>
      <w:r>
        <w:rPr>
          <w:rFonts w:ascii="Times New Roman"/>
          <w:b w:val="false"/>
          <w:i w:val="false"/>
          <w:color w:val="000000"/>
          <w:sz w:val="28"/>
        </w:rPr>
        <w:t>
      V</w:t>
      </w:r>
      <w:r>
        <w:rPr>
          <w:rFonts w:ascii="Times New Roman"/>
          <w:b w:val="false"/>
          <w:i w:val="false"/>
          <w:color w:val="000000"/>
          <w:vertAlign w:val="subscript"/>
        </w:rPr>
        <w:t>а</w:t>
      </w:r>
      <w:r>
        <w:rPr>
          <w:rFonts w:ascii="Times New Roman"/>
          <w:b w:val="false"/>
          <w:i w:val="false"/>
          <w:color w:val="000000"/>
          <w:sz w:val="28"/>
        </w:rPr>
        <w:t xml:space="preserve"> – бұрғылау қондырғысының айналым жүйесінің көлемі, м3. Бұрғылау қондырғысының айналым жүйесінің көлемі қондырғының паспорттық деректеріне сәйкес анықталады;</w:t>
      </w:r>
      <w:r>
        <w:br/>
      </w:r>
      <w:r>
        <w:rPr>
          <w:rFonts w:ascii="Times New Roman"/>
          <w:b w:val="false"/>
          <w:i w:val="false"/>
          <w:color w:val="000000"/>
          <w:sz w:val="28"/>
        </w:rPr>
        <w:t>
</w:t>
      </w:r>
      <w:r>
        <w:rPr>
          <w:rFonts w:ascii="Times New Roman"/>
          <w:b w:val="false"/>
          <w:i w:val="false"/>
          <w:color w:val="000000"/>
          <w:sz w:val="28"/>
        </w:rPr>
        <w:t>
      бұрғылау ерітіндісін қайталама пайдаланған кезде 1,2-ден 0,25-ке ауыстырылады.</w:t>
      </w:r>
      <w:r>
        <w:br/>
      </w:r>
      <w:r>
        <w:rPr>
          <w:rFonts w:ascii="Times New Roman"/>
          <w:b w:val="false"/>
          <w:i w:val="false"/>
          <w:color w:val="000000"/>
          <w:sz w:val="28"/>
        </w:rPr>
        <w:t>
</w:t>
      </w:r>
      <w:r>
        <w:rPr>
          <w:rFonts w:ascii="Times New Roman"/>
          <w:b w:val="false"/>
          <w:i w:val="false"/>
          <w:color w:val="000000"/>
          <w:sz w:val="28"/>
        </w:rPr>
        <w:t>
      7. Пайдаланылған бұрғылау ерітіндісінің массасы мына формула бойынша есептеледі: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3"/>
        <w:gridCol w:w="2213"/>
        <w:gridCol w:w="2233"/>
      </w:tblGrid>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ПБЕ</w:t>
            </w:r>
            <w:r>
              <w:rPr>
                <w:rFonts w:ascii="Times New Roman"/>
                <w:b w:val="false"/>
                <w:i w:val="false"/>
                <w:color w:val="000000"/>
                <w:sz w:val="20"/>
              </w:rPr>
              <w:t xml:space="preserve"> = V</w:t>
            </w:r>
            <w:r>
              <w:rPr>
                <w:rFonts w:ascii="Times New Roman"/>
                <w:b w:val="false"/>
                <w:i w:val="false"/>
                <w:color w:val="000000"/>
                <w:vertAlign w:val="subscript"/>
              </w:rPr>
              <w:t>ПБЕ</w:t>
            </w:r>
            <w:r>
              <w:rPr>
                <w:rFonts w:ascii="Times New Roman"/>
                <w:b w:val="false"/>
                <w:i w:val="false"/>
                <w:color w:val="000000"/>
                <w:sz w:val="20"/>
              </w:rPr>
              <w:t xml:space="preserve"> х </w:t>
            </w:r>
            <w:r>
              <w:drawing>
                <wp:inline distT="0" distB="0" distL="0" distR="0">
                  <wp:extent cx="139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9700" cy="177800"/>
                          </a:xfrm>
                          <a:prstGeom prst="rect">
                            <a:avLst/>
                          </a:prstGeom>
                        </pic:spPr>
                      </pic:pic>
                    </a:graphicData>
                  </a:graphic>
                </wp:inline>
              </w:drawing>
            </w: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6" w:id="12"/>
    <w:p>
      <w:pPr>
        <w:spacing w:after="0"/>
        <w:ind w:left="0"/>
        <w:jc w:val="both"/>
      </w:pPr>
      <w:r>
        <w:rPr>
          <w:rFonts w:ascii="Times New Roman"/>
          <w:b w:val="false"/>
          <w:i w:val="false"/>
          <w:color w:val="000000"/>
          <w:sz w:val="28"/>
        </w:rPr>
        <w:t xml:space="preserve">
      мұнда </w:t>
      </w:r>
      <w:r>
        <w:drawing>
          <wp:inline distT="0" distB="0" distL="0" distR="0">
            <wp:extent cx="139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9700" cy="177800"/>
                    </a:xfrm>
                    <a:prstGeom prst="rect">
                      <a:avLst/>
                    </a:prstGeom>
                  </pic:spPr>
                </pic:pic>
              </a:graphicData>
            </a:graphic>
          </wp:inline>
        </w:drawing>
      </w:r>
      <w:r>
        <w:rPr>
          <w:rFonts w:ascii="Times New Roman"/>
          <w:b w:val="false"/>
          <w:i w:val="false"/>
          <w:color w:val="000000"/>
          <w:sz w:val="28"/>
        </w:rPr>
        <w:t>- пайдаланылған бұрғылау ерітіндісінің үлестік салмағы, т/м</w:t>
      </w:r>
      <w:r>
        <w:rPr>
          <w:rFonts w:ascii="Times New Roman"/>
          <w:b w:val="false"/>
          <w:i w:val="false"/>
          <w:color w:val="000000"/>
          <w:vertAlign w:val="superscript"/>
        </w:rPr>
        <w:t>3</w:t>
      </w:r>
      <w:r>
        <w:rPr>
          <w:rFonts w:ascii="Times New Roman"/>
          <w:b w:val="false"/>
          <w:i w:val="false"/>
          <w:color w:val="000000"/>
          <w:sz w:val="28"/>
        </w:rPr>
        <w:t>.</w:t>
      </w:r>
    </w:p>
    <w:bookmarkEnd w:id="12"/>
    <w:bookmarkStart w:name="z27" w:id="13"/>
    <w:p>
      <w:pPr>
        <w:spacing w:after="0"/>
        <w:ind w:left="0"/>
        <w:jc w:val="left"/>
      </w:pPr>
      <w:r>
        <w:rPr>
          <w:rFonts w:ascii="Times New Roman"/>
          <w:b/>
          <w:i w:val="false"/>
          <w:color w:val="000000"/>
        </w:rPr>
        <w:t xml:space="preserve"> 
3. Бұрғылау сарқынды суларының түзілу көлемдерін есептеу әдісі</w:t>
      </w:r>
    </w:p>
    <w:bookmarkEnd w:id="13"/>
    <w:bookmarkStart w:name="z28" w:id="14"/>
    <w:p>
      <w:pPr>
        <w:spacing w:after="0"/>
        <w:ind w:left="0"/>
        <w:jc w:val="both"/>
      </w:pPr>
      <w:r>
        <w:rPr>
          <w:rFonts w:ascii="Times New Roman"/>
          <w:b w:val="false"/>
          <w:i w:val="false"/>
          <w:color w:val="000000"/>
          <w:sz w:val="28"/>
        </w:rPr>
        <w:t>
      8. Бұрғылау сарқынды суларының түзілу көлемі мына формула бойынша есептеледі: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3"/>
        <w:gridCol w:w="2213"/>
        <w:gridCol w:w="2233"/>
      </w:tblGrid>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 xml:space="preserve">БСС </w:t>
            </w:r>
            <w:r>
              <w:rPr>
                <w:rFonts w:ascii="Times New Roman"/>
                <w:b w:val="false"/>
                <w:i w:val="false"/>
                <w:color w:val="000000"/>
                <w:sz w:val="20"/>
              </w:rPr>
              <w:t>= 2 х V</w:t>
            </w:r>
            <w:r>
              <w:rPr>
                <w:rFonts w:ascii="Times New Roman"/>
                <w:b w:val="false"/>
                <w:i w:val="false"/>
                <w:color w:val="000000"/>
                <w:vertAlign w:val="subscript"/>
              </w:rPr>
              <w:t>ПБЕ</w:t>
            </w: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9" w:id="15"/>
    <w:p>
      <w:pPr>
        <w:spacing w:after="0"/>
        <w:ind w:left="0"/>
        <w:jc w:val="both"/>
      </w:pPr>
      <w:r>
        <w:rPr>
          <w:rFonts w:ascii="Times New Roman"/>
          <w:b w:val="false"/>
          <w:i w:val="false"/>
          <w:color w:val="000000"/>
          <w:sz w:val="28"/>
        </w:rPr>
        <w:t>
      айналмалы сумен қамсыздандыру енгізген кезде 2-ден 0,25-ке ауыстырылады.</w:t>
      </w:r>
      <w:r>
        <w:br/>
      </w:r>
      <w:r>
        <w:rPr>
          <w:rFonts w:ascii="Times New Roman"/>
          <w:b w:val="false"/>
          <w:i w:val="false"/>
          <w:color w:val="000000"/>
          <w:sz w:val="28"/>
        </w:rPr>
        <w:t>
</w:t>
      </w:r>
      <w:r>
        <w:rPr>
          <w:rFonts w:ascii="Times New Roman"/>
          <w:b w:val="false"/>
          <w:i w:val="false"/>
          <w:color w:val="000000"/>
          <w:sz w:val="28"/>
        </w:rPr>
        <w:t>
      9. Бұрылатын бұрғылау сарқынды суларындағы ластаушы заттар төгінділерінің массасы мына формула бойынша анықталады: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5"/>
        <w:gridCol w:w="2297"/>
        <w:gridCol w:w="2318"/>
      </w:tblGrid>
      <w:tr>
        <w:trPr>
          <w:trHeight w:val="30" w:hRule="atLeast"/>
        </w:trPr>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i</w:t>
            </w:r>
            <w:r>
              <w:rPr>
                <w:rFonts w:ascii="Times New Roman"/>
                <w:b w:val="false"/>
                <w:i w:val="false"/>
                <w:color w:val="000000"/>
                <w:sz w:val="20"/>
              </w:rPr>
              <w:t xml:space="preserve"> = V</w:t>
            </w:r>
            <w:r>
              <w:rPr>
                <w:rFonts w:ascii="Times New Roman"/>
                <w:b w:val="false"/>
                <w:i w:val="false"/>
                <w:color w:val="000000"/>
                <w:vertAlign w:val="subscript"/>
              </w:rPr>
              <w:t>БСС</w:t>
            </w:r>
            <w:r>
              <w:rPr>
                <w:rFonts w:ascii="Times New Roman"/>
                <w:b w:val="false"/>
                <w:i w:val="false"/>
                <w:color w:val="000000"/>
                <w:sz w:val="20"/>
              </w:rPr>
              <w:t xml:space="preserve"> х C</w:t>
            </w:r>
            <w:r>
              <w:rPr>
                <w:rFonts w:ascii="Times New Roman"/>
                <w:b w:val="false"/>
                <w:i w:val="false"/>
                <w:color w:val="000000"/>
                <w:vertAlign w:val="subscript"/>
              </w:rPr>
              <w:t>i</w:t>
            </w:r>
            <w:r>
              <w:rPr>
                <w:rFonts w:ascii="Times New Roman"/>
                <w:b w:val="false"/>
                <w:i w:val="false"/>
                <w:color w:val="000000"/>
                <w:sz w:val="20"/>
              </w:rPr>
              <w:t xml:space="preserve"> х 10</w:t>
            </w:r>
            <w:r>
              <w:rPr>
                <w:rFonts w:ascii="Times New Roman"/>
                <w:b w:val="false"/>
                <w:i w:val="false"/>
                <w:color w:val="000000"/>
                <w:vertAlign w:val="superscript"/>
              </w:rPr>
              <w:t>-6</w:t>
            </w:r>
            <w:r>
              <w:rPr>
                <w:rFonts w:ascii="Times New Roman"/>
                <w:b w:val="false"/>
                <w:i w:val="false"/>
                <w:color w:val="000000"/>
                <w:sz w:val="20"/>
              </w:rPr>
              <w:t xml:space="preserve">,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31" w:id="16"/>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i</w:t>
      </w:r>
      <w:r>
        <w:rPr>
          <w:rFonts w:ascii="Times New Roman"/>
          <w:b w:val="false"/>
          <w:i w:val="false"/>
          <w:color w:val="000000"/>
          <w:sz w:val="28"/>
        </w:rPr>
        <w:t xml:space="preserve"> – бұрылатын сарқынды сулардың құрамына сәйкес i-ші ластаушы заттың шоғырлануы, г/м</w:t>
      </w:r>
      <w:r>
        <w:rPr>
          <w:rFonts w:ascii="Times New Roman"/>
          <w:b w:val="false"/>
          <w:i w:val="false"/>
          <w:color w:val="000000"/>
          <w:vertAlign w:val="superscript"/>
        </w:rPr>
        <w:t>3</w:t>
      </w:r>
      <w:r>
        <w:rPr>
          <w:rFonts w:ascii="Times New Roman"/>
          <w:b w:val="false"/>
          <w:i w:val="false"/>
          <w:color w:val="000000"/>
          <w:sz w:val="28"/>
        </w:rPr>
        <w:t>.</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