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72343" w14:textId="d3723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Бірыңғай тіркелген салық ставкаларын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Шемонаиха аудандық мәслихатының 2011 жылғы 19 наурыздағы N 35/6-IV шешімі. Шығыс Қазақстан облысы Әділет департаментінің Шемонаиха аудандық әділет басқармасында 2011 жылғы 12 сәуірде N 5-19-146 тіркелді. Күші жойылды - Шығыс Қазақстан облысы Шемонаиха аудандық мәслихатының 2018 жылғы 29 наурыздағы № 23/4-VI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Шемонаиха аудандық мәслихатының 29.03.2018 </w:t>
      </w:r>
      <w:r>
        <w:rPr>
          <w:rFonts w:ascii="Times New Roman"/>
          <w:b w:val="false"/>
          <w:i w:val="false"/>
          <w:color w:val="ff0000"/>
          <w:sz w:val="28"/>
        </w:rPr>
        <w:t>№ 23/4-VI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туралы" (Салық кодексі) 2008 жылғы 10 желтоқсандағы № 99–ІV Қазақстан Республикасы Кодексінің </w:t>
      </w:r>
      <w:r>
        <w:rPr>
          <w:rFonts w:ascii="Times New Roman"/>
          <w:b w:val="false"/>
          <w:i w:val="false"/>
          <w:color w:val="000000"/>
          <w:sz w:val="28"/>
        </w:rPr>
        <w:t>422-бабына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№ 148-ІІ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Шемонаиха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Бірыңғай тіркелген салық ставкалары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"Шемонаиха ауданы бойынша салық салу бірлігіне тіркелген төлем ставкаларын белгілеу туралы" 2009 жылғы 13 ақпандағы № 16/3-IV (нормативтік құқықтық актілерді мемлекеттік тіркеу тізілімінде № 5-19-91 тіркелді, 2009 жылғы 06 наурызда "Уба-Информ" газетінің № 10 санында жарияланды) </w:t>
      </w:r>
      <w:r>
        <w:rPr>
          <w:rFonts w:ascii="Times New Roman"/>
          <w:b w:val="false"/>
          <w:i w:val="false"/>
          <w:color w:val="000000"/>
          <w:sz w:val="28"/>
        </w:rPr>
        <w:t>шешімнің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 ресми жарияланғаннан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 төрағасы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Руденко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Шемонаиха аудандық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хатшысы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Баяндинов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Шемонаиха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19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35/6-ІV шешiмiне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Бірыңғай тіркелген салықтың ставкасы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Шемонаиха аудандық мәслихатының 2011.12.21 </w:t>
      </w:r>
      <w:r>
        <w:rPr>
          <w:rFonts w:ascii="Times New Roman"/>
          <w:b w:val="false"/>
          <w:i w:val="false"/>
          <w:color w:val="ff0000"/>
          <w:sz w:val="28"/>
        </w:rPr>
        <w:t>№ 41/6-IV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(жарияланғаннан кейін 10 күн өткеннен соң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09"/>
        <w:gridCol w:w="5331"/>
        <w:gridCol w:w="5160"/>
      </w:tblGrid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объектісінің атауы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Тіркелген салықтың ставка мөлшері (айлық есептік көрсеткіш)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ойыншымен ойын өткізуге арналған, ұтыссыз ойын автоматы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өткізу үшін пайдаланылатын дербес компьютер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Бильярд үстелі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Біреуден артық ойыншылардың қатысуымен ойын өткізуге арналған ұтыссыз ойын автоматы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жолы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