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050b" w14:textId="31c0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оқытылатын және тәрбиеленетін мүгедек балалардың ата-аналары немесе өзге заңды өкілдерінің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2011 жылғы 23 желтоқсандағы № 447 қаулысы. Атырау облысы Әділет департаментінде 2012 жылғы 6 қаңтарда № 4-8-217 тіркелді. Күші жойылды - Құрманғазы ауданы әкімдігінің 2013 жылғы 21 ақпандағы № 106 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Құрманғазы ауданы әкімдігінің 2013.02.21 № 106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>, 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29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Үкіметінің 2011 жылғы 7 сәуірдегі № 394 "Жергілікті атқарушы органдар көрсететін әлеуметтік қорғау саласындағы мемлекеттік қызметкердің стандарттарын бекіту туралы" қаулысының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әкімдігінің 2011 жылғы 21 қарашадағы № 329 "Үйде оқытылатын және тәрбиеленетін мүгедек балалардың ата-аналары немесе өзге заңды өкілдерінің шығындарын өтеу туралы"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балалардың ата-аналарына немесе өзге заңды өкілдеріне үйде тәрбиелеу мен оқыту шығындарын өтеу үшін ай сайын 2,4 айлық есептік көрсеткіш мөлшерінде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осы қаулыдан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Мұфтахқа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2011 жылдың 1 тамызынан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