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bc1e" w14:textId="227b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оқытылатын және тәрбиеленетін мүгедек балалардың ата-аналары немесе өзге заңды өкілдерінің шығындарын өтеу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әкімдігінің 2011 жылғы 20 желтоқсандағы № 2150 қаулысы. Атырау облысының Әділет департаментінде 2011 жылғы 26 желтоқсанда № 4-1-151 тіркелді. Күші жойылды - Атырау облысы Атырау қалалық әкімдігінің 2013 жылғы 6 наурыздағы № 214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Атырау қалалық әкімдігінің 06.03.2013 № 214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37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Қазақстан Республикасының 2002 жылғы 11 шілдедегі "Кемтар балаларды әлеуметтік және медициналық-педагогикалық түзеу арқылы қолдау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2005 жылғы 13 сәуірдегі "Қазақстан Республикасында мүгедектерді әлеуметтік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29 баптары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Қазақстан Республикасы Үкіметінің 2011 жылғы 7 сәуірдегі № 394 "Жергілікті атқарушы органдар көрсететін әлеуметтік қорғау саласындағы мемлекеттік қызметтердің стандарттарын бекіту туралы" қаулысының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Атырау облыстық әкімдігінің 2011 жылғы 21 қарашадағы № 329 "Үйде оқытылатын және тәрбиеленетін мүгедек балалардың ата-аналары немесе өзге заңды өкілдерінің шығындарын өтеу туралы" қаулысына сәйкес, қалалық 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Мүгедек балалардың ата-аналарына немесе өзге заңды өкілдеріне үйде тәрбиелеу мен оқыту шығындарын өтеу үшін ай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2,4 айлық есептік көрсеткіш мөлшерінде материалдық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Қалалық жұмыспен қамту және әлеуметтік бағдарламалар бөлімі осы қаулыдан туындайтын тиісті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А.С. Қарабаеваға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еніп, алғаш ресми жарияланғаннан кейін күнтізбелік он күн өткен соң қолданысқа енгізіледі және 2011 жылдың 1 тамызынан туындаған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  әкімі                                М. Исмұратов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