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56b1" w14:textId="c315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Таран ауданы мәслихатының 2011 жылғы 9 маусымдағы № 366 шешімі. Қостанай облысы Таран ауданының Әділет басқармасында 2011 жылғы 11 шілдеде № 9-18-140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қаңтарындағы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08 шiлдедегi Заңының 7-бабы 3-тармағы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жылға, ауданның ауылдық елдi мекендерге жұмыс iстеу және тұру үшiн келген денсаулық сақтау, бiлiм беру, әлеуметтiк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түрiндегі әлеуметтiк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Таран ауданы мәслихатының 2011.08.31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шешімімен.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Қырқыншы, кезектен тыс</w:t>
      </w:r>
      <w:r>
        <w:br/>
      </w:r>
      <w:r>
        <w:rPr>
          <w:rFonts w:ascii="Times New Roman"/>
          <w:b w:val="false"/>
          <w:i w:val="false"/>
          <w:color w:val="000000"/>
          <w:sz w:val="28"/>
        </w:rPr>
        <w:t>
</w:t>
      </w:r>
      <w:r>
        <w:rPr>
          <w:rFonts w:ascii="Times New Roman"/>
          <w:b w:val="false"/>
          <w:i/>
          <w:color w:val="000000"/>
          <w:sz w:val="28"/>
        </w:rPr>
        <w:t>      сессиясының төрағасы                       Н. Транда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мемлекеттiк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 А.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