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9cc2" w14:textId="3a9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307 "Жітіқара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2011 жылғы 22 қаңтардағы № 320 шешімі. Қостанай облысы Жітіқара ауданының Әділет басқармасында 2011 жылғы 26 қаңтарда № 9-10-154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2008 жылғы 4 желтоқсандағы Қазақстан Республикасы Бюджеттiк кодексiнiң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2011-2013 жылдарға арналған бюджеті туралы" (нормативтік құқықтық актілердің мемлекеттік тіркеу Тізілімінде 9-10-153 нөмірімен тіркелген</w:t>
      </w:r>
      <w:r>
        <w:rPr>
          <w:rFonts w:ascii="Times New Roman"/>
          <w:b w:val="false"/>
          <w:i w:val="false"/>
          <w:color w:val="000000"/>
          <w:sz w:val="28"/>
        </w:rPr>
        <w:t>, 2011 жылғы 6 қаңтарда "Житикаринские новости" газетінде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1. 2011-2013 жылдарға арналған аудандық бюджеті тиісінше 1, 2 және 3 қосымшаларға сәйкес, оның ішінде 2011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2 723 333,0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1 098 480,0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3 967,0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6 886,0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1 614 000,0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шығындар – 2 644 021,7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кредиттеу – 25 551,1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 – 26 678,7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кредиттерді өтеу – 1 127,6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қаржы активтерімен операциялар бойынша сальдо – 90 977,0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– 90 977,0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 тапшылығы (профициті) – - 37 216,8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 тапшылығын қаржыландыру (профицитті пайдалану) – - 37 216,8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"6) 6 480,0 мың теңге – Жітіқара қаласындағы 2-су тазартқыш құрылысынан 1-су тазартқыш құрылысына дейін суаққының салынуына;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10 000,0 мың теңге - Жітіқара ауданының аудандық орталығын сумен жабдықтау үшін жер асты суларының Шортанды кен орнынан суаққының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"4-1. 2011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нысаналы ағымдағы трансферттер және республикалық бюджеттен дамытуға арналған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7 984,0 мың теңге - эпизоотикаға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1 528,0 мың теңге - ауылдық елді мекендердің әлеуметтік сала мамандарын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1 882,0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12 291,0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5 541,0 мың теңге -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2 907,0 мың теңге -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17 717,0 мың теңге – медициналық - әлеуметтік ұйымдарда күндізгі тұру бөлімшелерінің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24 041,0 мың теңге - ата-аналарының қамқорынсыз қалған жетім баланы (жетім балаларды) күтіп-ұстауға асыраушыларына (қорғаншыларына)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3 120,0 мың теңге - "Бизнестің жол картасы - 2020" бағдарламасы шеңберінде жеке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69 765,0 мың теңге - Жітіқара қаласының "Желтоқсан" шағын ауданындағы газ үлестіру тораптарының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58 322,0 мың теңге - </w:t>
      </w:r>
      <w:r>
        <w:rPr>
          <w:rFonts w:ascii="Times New Roman"/>
          <w:b w:val="false"/>
          <w:i w:val="false"/>
          <w:color w:val="000000"/>
          <w:sz w:val="28"/>
        </w:rPr>
        <w:t>Жітіқара қаласындағы 2-су тазартқыш құрылысынан 1-су тазартқыш құрылысына дейін суаққының салынуына;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90 000,0 мың теңге - </w:t>
      </w:r>
      <w:r>
        <w:rPr>
          <w:rFonts w:ascii="Times New Roman"/>
          <w:b w:val="false"/>
          <w:i w:val="false"/>
          <w:color w:val="000000"/>
          <w:sz w:val="28"/>
        </w:rPr>
        <w:t>Жітіқара ауданының аудандық орталығын сумен жабдықтау үшін жер асты суларының Шортанды кен орнынан суаққының құрылысына.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4-2. 2011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мекендердің әлеуметтік сала мамандарын әлеуметтік қолдау шараларын іске асыру үшін 9 792,0 мың теңге сомасында республикалық бюджеттен бюджеттік кредиттің түсімі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4-3. 2011 жылға арналған аудандық бюджетте нысаналы трансферттердің қайтарылуы 7 219,3 мың теңге сомасында, оның ішінде республикалық бюджетке – 7 218,9 мың теңге, облыстық бюджетке – 0,4 мың теңге қайтарылуы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4-4. 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ауылдық елді мекендердің әлеуметтік сала мамандарын әлеуметтік қолдау шараларын іске асыру үшін 16 886,7 мың теңге сомасында 2010 жылы пайдаланылмаған бюджеттік кредиттерді толық пайдалану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320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2011 жылға арналған Жітіқара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73"/>
        <w:gridCol w:w="262"/>
        <w:gridCol w:w="793"/>
        <w:gridCol w:w="6333"/>
        <w:gridCol w:w="22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2723333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441995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2644021,7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170468,4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70051,4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67331,4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1538961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1446993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1446993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конкурстарды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қорғаншыларына)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орталықтары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тілі мамандарының,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көмекшілердің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мүшелерiн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іске асыру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қатынастары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25 551,1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-37216,8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320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2012 жылға арналған Жітіқара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93"/>
        <w:gridCol w:w="262"/>
        <w:gridCol w:w="793"/>
        <w:gridCol w:w="6453"/>
        <w:gridCol w:w="19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2609739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320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2013 жылға арналған Жітіқара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33"/>
        <w:gridCol w:w="142"/>
        <w:gridCol w:w="773"/>
        <w:gridCol w:w="6673"/>
        <w:gridCol w:w="19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2491658,0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64113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10 158,4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320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2011 жылға арналған Жітіқара ауданының ауылдар, селолар,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селолық округтер аппараттарының 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(кіші бағдарламалары)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19"/>
        <w:gridCol w:w="944"/>
        <w:gridCol w:w="904"/>
        <w:gridCol w:w="6959"/>
        <w:gridCol w:w="1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