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76c4" w14:textId="ba17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24 қазандағы N 349 шешімі. Қызылорда облысының Әділет департаментінде 2011 жылы 15 қарашада N 10-8-156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"4 497 482" саны "4 505 227"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"4 919 949" саны "4 927 968" санымен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ХХХХ</w:t>
      </w:r>
      <w:r>
        <w:br/>
      </w:r>
      <w:r>
        <w:rPr>
          <w:rFonts w:ascii="Times New Roman"/>
          <w:b w:val="false"/>
          <w:i w:val="false"/>
          <w:color w:val="000000"/>
          <w:sz w:val="28"/>
        </w:rPr>
        <w:t>
</w:t>
      </w:r>
      <w:r>
        <w:rPr>
          <w:rFonts w:ascii="Times New Roman"/>
          <w:b w:val="false"/>
          <w:i/>
          <w:color w:val="000000"/>
          <w:sz w:val="28"/>
        </w:rPr>
        <w:t>      сессиясының төрағасы                     Р. Есенов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24 қазандағы</w:t>
      </w:r>
      <w:r>
        <w:br/>
      </w:r>
      <w:r>
        <w:rPr>
          <w:rFonts w:ascii="Times New Roman"/>
          <w:b w:val="false"/>
          <w:i w:val="false"/>
          <w:color w:val="000000"/>
          <w:sz w:val="28"/>
        </w:rPr>
        <w:t>
      кезектен тыс ХХХХ сессиясының</w:t>
      </w:r>
      <w:r>
        <w:br/>
      </w:r>
      <w:r>
        <w:rPr>
          <w:rFonts w:ascii="Times New Roman"/>
          <w:b w:val="false"/>
          <w:i w:val="false"/>
          <w:color w:val="000000"/>
          <w:sz w:val="28"/>
        </w:rPr>
        <w:t>
       N 349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ХХІХ сессиясының</w:t>
      </w:r>
      <w:r>
        <w:br/>
      </w:r>
      <w:r>
        <w:rPr>
          <w:rFonts w:ascii="Times New Roman"/>
          <w:b w:val="false"/>
          <w:i w:val="false"/>
          <w:color w:val="000000"/>
          <w:sz w:val="28"/>
        </w:rPr>
        <w:t>
       N 286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3"/>
        <w:gridCol w:w="686"/>
        <w:gridCol w:w="647"/>
        <w:gridCol w:w="762"/>
        <w:gridCol w:w="7864"/>
        <w:gridCol w:w="1916"/>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4505227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1730923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1451287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1429297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1428697</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14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2692725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2692725</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2692725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4927968</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401693</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214731</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183895</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2473704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364639</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294478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2053519</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2052415</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1948232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55546</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984760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61743</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719021</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702381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201499</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111077</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53041</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42502</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53783</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40758</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