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6791" w14:textId="0246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кезекті 34 сессиясының N 224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22 қарашадағы N 298 шешімі. Қызылорда облысының Әділет департаментінде 2011 жылы 29 қарашада N 10-5-169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аудандық "Қармақшы таңы" газетінің 2011 жылғы 26 қаңтардағы N 9-10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"5 222 352" деген сандар "5 240 320" деген сандармен ауыстырылсын;</w:t>
      </w:r>
      <w:r>
        <w:br/>
      </w:r>
      <w:r>
        <w:rPr>
          <w:rFonts w:ascii="Times New Roman"/>
          <w:b w:val="false"/>
          <w:i w:val="false"/>
          <w:color w:val="000000"/>
          <w:sz w:val="28"/>
        </w:rPr>
        <w:t>
      "4 393 877" деген сандар "4 411 845"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"5 463 123" деген сандар "5 481 091"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N 224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төртінші шақырылған аудандық мәслихат "Қаржы, бюджет, әлеуметтік, жастар саясаты, құқық қорғау және мәдени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45-сессиясының төрағасы                      Ә. Сержанова</w:t>
      </w:r>
    </w:p>
    <w:p>
      <w:pPr>
        <w:spacing w:after="0"/>
        <w:ind w:left="0"/>
        <w:jc w:val="both"/>
      </w:pPr>
      <w:r>
        <w:rPr>
          <w:rFonts w:ascii="Times New Roman"/>
          <w:b w:val="false"/>
          <w:i/>
          <w:color w:val="000000"/>
          <w:sz w:val="28"/>
        </w:rPr>
        <w:t>      Қармақшы аудандық</w:t>
      </w:r>
      <w:r>
        <w:br/>
      </w:r>
      <w:r>
        <w:rPr>
          <w:rFonts w:ascii="Times New Roman"/>
          <w:b w:val="false"/>
          <w:i w:val="false"/>
          <w:color w:val="000000"/>
          <w:sz w:val="28"/>
        </w:rPr>
        <w:t>
</w:t>
      </w:r>
      <w:r>
        <w:rPr>
          <w:rFonts w:ascii="Times New Roman"/>
          <w:b w:val="false"/>
          <w:i/>
          <w:color w:val="000000"/>
          <w:sz w:val="28"/>
        </w:rPr>
        <w:t>      мәслихатының хатшысы                             М. 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"22" қарашадағы</w:t>
      </w:r>
      <w:r>
        <w:br/>
      </w:r>
      <w:r>
        <w:rPr>
          <w:rFonts w:ascii="Times New Roman"/>
          <w:b w:val="false"/>
          <w:i w:val="false"/>
          <w:color w:val="000000"/>
          <w:sz w:val="28"/>
        </w:rPr>
        <w:t>
      кезектен тыс 45-сессиясының</w:t>
      </w:r>
      <w:r>
        <w:br/>
      </w:r>
      <w:r>
        <w:rPr>
          <w:rFonts w:ascii="Times New Roman"/>
          <w:b w:val="false"/>
          <w:i w:val="false"/>
          <w:color w:val="000000"/>
          <w:sz w:val="28"/>
        </w:rPr>
        <w:t>
      N 298 шешіміне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1-қосымша</w:t>
      </w:r>
    </w:p>
    <w:bookmarkStart w:name="z7"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45"/>
        <w:gridCol w:w="726"/>
        <w:gridCol w:w="8952"/>
        <w:gridCol w:w="183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5240320</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763032</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261721</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261721</w:t>
            </w:r>
          </w:p>
        </w:tc>
      </w:tr>
      <w:tr>
        <w:trPr>
          <w:trHeight w:val="1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319250</w:t>
            </w:r>
          </w:p>
        </w:tc>
      </w:tr>
      <w:tr>
        <w:trPr>
          <w:trHeight w:val="1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250876</w:t>
            </w:r>
          </w:p>
        </w:tc>
      </w:tr>
      <w:tr>
        <w:trPr>
          <w:trHeight w:val="2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1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w:t>
            </w:r>
          </w:p>
        </w:tc>
      </w:tr>
      <w:tr>
        <w:trPr>
          <w:trHeight w:val="2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2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2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1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1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1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1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62691</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1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4411845</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4411845</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4411845</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5481091</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324847</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118152</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92922</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152022</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138731</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9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8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2684149</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2673014</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2113341</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402632</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4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495197</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495197</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41422</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28212</w:t>
            </w:r>
          </w:p>
        </w:tc>
      </w:tr>
      <w:tr>
        <w:trPr>
          <w:trHeight w:val="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175352</w:t>
            </w:r>
          </w:p>
        </w:tc>
      </w:tr>
      <w:tr>
        <w:trPr>
          <w:trHeight w:val="4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32243</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1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29269</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87837</w:t>
            </w:r>
          </w:p>
        </w:tc>
      </w:tr>
      <w:tr>
        <w:trPr>
          <w:trHeight w:val="6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835418</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168014</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114081</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147850</w:t>
            </w:r>
          </w:p>
        </w:tc>
      </w:tr>
      <w:tr>
        <w:trPr>
          <w:trHeight w:val="3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248740</w:t>
            </w:r>
          </w:p>
        </w:tc>
      </w:tr>
      <w:tr>
        <w:trPr>
          <w:trHeight w:val="1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145893</w:t>
            </w:r>
          </w:p>
        </w:tc>
      </w:tr>
      <w:tr>
        <w:trPr>
          <w:trHeight w:val="5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95260</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w:t>
            </w:r>
          </w:p>
        </w:tc>
      </w:tr>
      <w:tr>
        <w:trPr>
          <w:trHeight w:val="2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2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32748</w:t>
            </w:r>
          </w:p>
        </w:tc>
      </w:tr>
      <w:tr>
        <w:trPr>
          <w:trHeight w:val="4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25126</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68541</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5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34569</w:t>
            </w:r>
          </w:p>
        </w:tc>
      </w:tr>
      <w:tr>
        <w:trPr>
          <w:trHeight w:val="1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3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w:t>
            </w:r>
          </w:p>
        </w:tc>
      </w:tr>
      <w:tr>
        <w:trPr>
          <w:trHeight w:val="1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753607</w:t>
            </w:r>
          </w:p>
        </w:tc>
      </w:tr>
      <w:tr>
        <w:trPr>
          <w:trHeight w:val="2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5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7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632672</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632672</w:t>
            </w:r>
          </w:p>
        </w:tc>
      </w:tr>
      <w:tr>
        <w:trPr>
          <w:trHeight w:val="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19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1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48691</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1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-289462</w:t>
            </w:r>
          </w:p>
        </w:tc>
      </w:tr>
      <w:tr>
        <w:trPr>
          <w:trHeight w:val="45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289462</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1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16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2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10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