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1f14" w14:textId="0241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мәслихатының 2011 жылғы 16 қарашадағы N 388 шешімі. Қарағанды облысы Нұра ауданының Әділет басқармасында 2011 жылғы 12 желтоқсанда N 8-14-156 тіркелді. Күші жойылды - Қарағанды облысы Нұра аудандық мәслихатының 2014 жылғы 27 наурыздағы N 242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27.03.2014 N 242 (алғаш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әлеуметтік көмекке мұқтаж азаматтардың санаттары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қатысушыларына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 қамтылған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фтизиатрда тіркеуде тұрған туберкулезбен ауыратын науқастар.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Мұқтаж азаматтардың жекелеген санаттарына әлеуметтік көмек көрсету шығындары "Жергілікті өкілетті органдардың шешімі бойынша мұқтаж азаматтардың жекелеген санаттарына әлеуметтік көмек" 451007 бағдарламасы бойынша аудандық бюджетінде қарастырылған қаржы шегінде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өнеркәсіп, құрылыс, жолаушылар көлігі, тұрғын үй – коммуналдық шаруашылығы, аграрлық мәселелері және экология жөніндегі тұрақты комиссиясына жүктелсін (Прокоп Г.Г.).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"Нұра ауданының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 Г.Жүпенова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желтоқсан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