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07f8" w14:textId="6f60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3 маусымдағы N 16/04 қаулысы. Қарағанды облысы Бұқар жырау ауданының Әділет басқармасында 2011 жылғы 19 шілдеде N 8-11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қа қабылдау және жұмыспен қамтуға ықпал жас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үгедектерді жұмысқа орналастыру үшін жұмыс орындарының жалпы санынан үш пайыз көлем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дық жұмыспен қамту және әлеуметтік бағдарламалар бөлімі" жұмыс орындарына берілген квотаға мүгедектердің жұмысқа орналасуын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