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c7c1" w14:textId="fb7c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Байзақ аудандық мәслихатының 2010 жылғы 24 желтоқсандағы № 36-4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2011 жылғы 27 сәуірдегі № 40-2 Шешімі. Байзақ аудандық Әділет басқармасында 2011 жылғы 27 сәуірде № 6-2-128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 – 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енгізу туралы» Жамбыл облыстық мәслихатының 2011 жылғы 14 сәуірдегі № 34-2 шешімі (Нормативтік құқықтық актілерді мемлекеттік тіркеу тізілімінде № 1773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Байзақ аудандық мәслихатының 2010 жылғы 24 желтоқсандағы </w:t>
      </w:r>
      <w:r>
        <w:rPr>
          <w:rFonts w:ascii="Times New Roman"/>
          <w:b w:val="false"/>
          <w:i w:val="false"/>
          <w:color w:val="000000"/>
          <w:sz w:val="28"/>
        </w:rPr>
        <w:t>№ 36-4</w:t>
      </w:r>
      <w:r>
        <w:rPr>
          <w:rFonts w:ascii="Times New Roman"/>
          <w:b w:val="false"/>
          <w:i w:val="false"/>
          <w:color w:val="000000"/>
          <w:sz w:val="28"/>
        </w:rPr>
        <w:t xml:space="preserve"> шешіміне (Нормативтік құқықтық актілерді мемлекеттік тіркеу тізілімінде № 6-2-123 болып тіркелген, 2011 жылғы 22 қаңтарда аудандық № 8-9-10 “Ауыл жаңалығы”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«5207086» сандары «5172967» сандарымен ауыстырылсын;</w:t>
      </w:r>
      <w:r>
        <w:br/>
      </w:r>
      <w:r>
        <w:rPr>
          <w:rFonts w:ascii="Times New Roman"/>
          <w:b w:val="false"/>
          <w:i w:val="false"/>
          <w:color w:val="000000"/>
          <w:sz w:val="28"/>
        </w:rPr>
        <w:t>
      «622800» сандары «709040» сандарымен ауыстырылсын;</w:t>
      </w:r>
      <w:r>
        <w:br/>
      </w:r>
      <w:r>
        <w:rPr>
          <w:rFonts w:ascii="Times New Roman"/>
          <w:b w:val="false"/>
          <w:i w:val="false"/>
          <w:color w:val="000000"/>
          <w:sz w:val="28"/>
        </w:rPr>
        <w:t>
      «24575» сандары «25353» сандарымен ауыстырылсын;</w:t>
      </w:r>
      <w:r>
        <w:br/>
      </w:r>
      <w:r>
        <w:rPr>
          <w:rFonts w:ascii="Times New Roman"/>
          <w:b w:val="false"/>
          <w:i w:val="false"/>
          <w:color w:val="000000"/>
          <w:sz w:val="28"/>
        </w:rPr>
        <w:t>
      «4540849» сандары «4419712» сандарымен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«5221887» сандары «5179103» сандарымен ауыстырылсын;</w:t>
      </w:r>
      <w:r>
        <w:br/>
      </w:r>
      <w:r>
        <w:rPr>
          <w:rFonts w:ascii="Times New Roman"/>
          <w:b w:val="false"/>
          <w:i w:val="false"/>
          <w:color w:val="000000"/>
          <w:sz w:val="28"/>
        </w:rPr>
        <w:t>
      3)тармақшада:</w:t>
      </w:r>
      <w:r>
        <w:br/>
      </w:r>
      <w:r>
        <w:rPr>
          <w:rFonts w:ascii="Times New Roman"/>
          <w:b w:val="false"/>
          <w:i w:val="false"/>
          <w:color w:val="000000"/>
          <w:sz w:val="28"/>
        </w:rPr>
        <w:t>
      «17033» сандары «24198» сандарымен ауыстырылсын;</w:t>
      </w:r>
      <w:r>
        <w:br/>
      </w:r>
      <w:r>
        <w:rPr>
          <w:rFonts w:ascii="Times New Roman"/>
          <w:b w:val="false"/>
          <w:i w:val="false"/>
          <w:color w:val="000000"/>
          <w:sz w:val="28"/>
        </w:rPr>
        <w:t>
      «17805» сандары «24970» сандарымен ауыстырылсын;</w:t>
      </w:r>
      <w:r>
        <w:br/>
      </w:r>
      <w:r>
        <w:rPr>
          <w:rFonts w:ascii="Times New Roman"/>
          <w:b w:val="false"/>
          <w:i w:val="false"/>
          <w:color w:val="000000"/>
          <w:sz w:val="28"/>
        </w:rPr>
        <w:t>
      4)тармақшада:</w:t>
      </w:r>
      <w:r>
        <w:br/>
      </w:r>
      <w:r>
        <w:rPr>
          <w:rFonts w:ascii="Times New Roman"/>
          <w:b w:val="false"/>
          <w:i w:val="false"/>
          <w:color w:val="000000"/>
          <w:sz w:val="28"/>
        </w:rPr>
        <w:t>
      бірінші абзацтағы «10000» сандары «11500» сандарымен ауыстырылсын;</w:t>
      </w:r>
      <w:r>
        <w:br/>
      </w:r>
      <w:r>
        <w:rPr>
          <w:rFonts w:ascii="Times New Roman"/>
          <w:b w:val="false"/>
          <w:i w:val="false"/>
          <w:color w:val="000000"/>
          <w:sz w:val="28"/>
        </w:rPr>
        <w:t>
      екінші абзацтағы «10000» сандары «11500»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Исабаев                                 А. Унетаева</w:t>
      </w:r>
    </w:p>
    <w:bookmarkStart w:name="z6" w:id="1"/>
    <w:p>
      <w:pPr>
        <w:spacing w:after="0"/>
        <w:ind w:left="0"/>
        <w:jc w:val="both"/>
      </w:pPr>
      <w:r>
        <w:rPr>
          <w:rFonts w:ascii="Times New Roman"/>
          <w:b w:val="false"/>
          <w:i w:val="false"/>
          <w:color w:val="000000"/>
          <w:sz w:val="28"/>
        </w:rPr>
        <w:t>
Байзақ аудандық мәслихаттың</w:t>
      </w:r>
      <w:r>
        <w:br/>
      </w:r>
      <w:r>
        <w:rPr>
          <w:rFonts w:ascii="Times New Roman"/>
          <w:b w:val="false"/>
          <w:i w:val="false"/>
          <w:color w:val="000000"/>
          <w:sz w:val="28"/>
        </w:rPr>
        <w:t>
2011 жылғы 27 сәуірдегі</w:t>
      </w:r>
      <w:r>
        <w:br/>
      </w:r>
      <w:r>
        <w:rPr>
          <w:rFonts w:ascii="Times New Roman"/>
          <w:b w:val="false"/>
          <w:i w:val="false"/>
          <w:color w:val="000000"/>
          <w:sz w:val="28"/>
        </w:rPr>
        <w:t>
№ 40-2 шешіміне қосымша</w:t>
      </w:r>
    </w:p>
    <w:bookmarkEnd w:id="1"/>
    <w:p>
      <w:pPr>
        <w:spacing w:after="0"/>
        <w:ind w:left="0"/>
        <w:jc w:val="both"/>
      </w:pPr>
      <w:r>
        <w:rPr>
          <w:rFonts w:ascii="Times New Roman"/>
          <w:b w:val="false"/>
          <w:i w:val="false"/>
          <w:color w:val="000000"/>
          <w:sz w:val="28"/>
        </w:rPr>
        <w:t>Байзақ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36-4 шешіміне 1-қосымша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34"/>
        <w:gridCol w:w="634"/>
        <w:gridCol w:w="9087"/>
        <w:gridCol w:w="221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5172967</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709040</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124554</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124554</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105493</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105493</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457983</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408443</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38239</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25353</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6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орталық мемлекеттік органдар, олардың аумақтық бөлімшелері салатын әкiмшiлiк айыппұлдар, өсімпұлдар, санкциялар, өндіріп алулар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16924</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4419712</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4419712</w:t>
            </w:r>
          </w:p>
        </w:tc>
      </w:tr>
      <w:tr>
        <w:trPr>
          <w:trHeight w:val="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4419712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898"/>
        <w:gridCol w:w="8551"/>
        <w:gridCol w:w="220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5179103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281587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3952611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500063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459477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2790548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2719552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598156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598156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60084</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33135</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1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жануарларына сәйкестендіру жүргізу және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164476</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шеңберіндежеке кәсіпкерлікті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1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898"/>
        <w:gridCol w:w="8551"/>
        <w:gridCol w:w="220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898"/>
        <w:gridCol w:w="8551"/>
        <w:gridCol w:w="220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898"/>
        <w:gridCol w:w="8529"/>
        <w:gridCol w:w="2228"/>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898"/>
        <w:gridCol w:w="8551"/>
        <w:gridCol w:w="220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901"/>
        <w:gridCol w:w="901"/>
        <w:gridCol w:w="8547"/>
        <w:gridCol w:w="220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898"/>
        <w:gridCol w:w="8529"/>
        <w:gridCol w:w="222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