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b495" w14:textId="a29b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2011 жылғы 27 шілдедегі № 212 шешімі. Ақтөбе облысының Әділет департаментінде 2011 жылғы 16 тамызда № 3-7-122 тіркелді. Қолданылу мерзімі аяқталуына байланысты күші жойылды - Ақтөбе облысы Қобда аудандық мәслихатының 2012 жылғы 10 мамырдағы № 5-05/46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Қобда аудандық мәслихатының 2012.05.10 № 5-05/46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 66 Заңының 7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көрсеткішке тең сомада көтерме жәрдемақы және тұрғын үй сатып алу үшін әлеуметтік қолдау - бір мың бес жүз еселік айлық есептік көрсеткіштен аспайтын сомада бюджеттік кредит беруі көрсетілсін.</w:t>
      </w:r>
    </w:p>
    <w:bookmarkEnd w:id="1"/>
    <w:bookmarkStart w:name="z3" w:id="2"/>
    <w:p>
      <w:pPr>
        <w:spacing w:after="0"/>
        <w:ind w:left="0"/>
        <w:jc w:val="both"/>
      </w:pPr>
      <w:r>
        <w:rPr>
          <w:rFonts w:ascii="Times New Roman"/>
          <w:b w:val="false"/>
          <w:i w:val="false"/>
          <w:color w:val="000000"/>
          <w:sz w:val="28"/>
        </w:rPr>
        <w:t xml:space="preserve">
      2. Қобда аудандық мәслихаттың 2010 жылғы 19 ақпандағы "Денсаулық сақтау, білім беру, әлеуметтік қамсыздандыру, мәдениет және спорт салаларының мамандарына 2010 жылға көтерме жәрдемақы және бюджеттік кредит беру туралы" № 136 (нормативтік- құқықтық кесімдері мемлекеттік тіркеу тізілімінде № 3-7-86 санымен тіркелген, 2010 жылғы 26 наурызда "Қобда" газетінің № 12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жарияланғанынан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ЖИЕНБЕКОВА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Л.ИСМАҒАМБЕТОВА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