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5b0e" w14:textId="53c5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Еңбекшілдер ауданы аумағында қызметін жүзеге асыратын барлық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2011 жылғы 10 қарашадағы № С-37/4 шешімі. Ақмола облысы Еңбекшілдер ауданының Әділет басқармасында 2011 жылғы 2 желтоқсанда № 1-10-148 тіркелді. Күші жойылды - Ақмола облысы Біржан сал ауданы мәслихатының 2018 жылғы 29 наурыздағы № С-22/4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29.03.2018 </w:t>
      </w:r>
      <w:r>
        <w:rPr>
          <w:rFonts w:ascii="Times New Roman"/>
          <w:b w:val="false"/>
          <w:i w:val="false"/>
          <w:color w:val="ff0000"/>
          <w:sz w:val="28"/>
        </w:rPr>
        <w:t>№ С-22/4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Еңбекшілдер ауданы аумағында қызметін жүзеге асыратын барлық салық төлеушілер үшін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Еңбекшілдер аудандық мәслихатының "Ақмола облысы Еңбекшілдер ауданы аумағында қызметті жүзеге асыратын барлық салық төлеушілер үшін бірыңғай бекітілген салықтың ставкаларын белгілеу туралы" 2009 жылғы 15 маусымдағы № С-16/3 (нормативтік құқықтық актілерді мемлекеттік тіркеудің Тізілімінде № 1-10-88 тіркеліп, 2009 жылғы 19 маусымда аудандық "Жаңа дәуір" газетінде және 2009 жылғы 20 маусымда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Еңбекшілдер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С- 37/4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Еңбекшілдер ауданы аумағында қызметін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барлық салық төлеушілер үшін</w:t>
      </w:r>
      <w:r>
        <w:br/>
      </w:r>
      <w:r>
        <w:rPr>
          <w:rFonts w:ascii="Times New Roman"/>
          <w:b/>
          <w:i w:val="false"/>
          <w:color w:val="000000"/>
        </w:rPr>
        <w:t>бірыңғай тіркелген салықтың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5559"/>
        <w:gridCol w:w="4855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(боулинг, кегельбан)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