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7825" w14:textId="265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халықтын нысаналы топтарына жататын тұлғалардың 2012 жылына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2011 жылғы 8 желтоқсандағы № А-12/492 қаулысы. Ақмола облысы Атбасар ауданының Әділет басқармасында 2011 жылғы 30 желтоқсанда № 1-5-175 тіркелді. Қолданылу мерзімінің аяқталуына байланысты қаулының күші жойылды - Ақмола облысы Атбасар ауданы әкімі аппараты жетекшісінің 2013 жылғы 26 наурыздағы № 01-359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Атбасар ауданы әкімі аппараты жетекшісінің 26.03.2013 № 01-359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туралы» Заңдарына сәйкес және нысаналы топтар құрамына кіретін және әлеуметтік қорғауда неғұрлым мұқтаж тұлғалардың жұмыспен қамтылуына көмек көрсету мақсатында,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анықталсың: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жасты қоса алғандағы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көп уақыт жұмыс істеймейтін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ертеде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техникалық және кәсіптік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Р.Әубәкіров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