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93de7" w14:textId="1a93d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Басқармасының "Қазақстан Республикасы Ұлттық қорының активтерін сыртқы басқарушыларды таңдау ережесін бекіту туралы" 2006 жылғы 25 шілдедегі № 66 қаулысына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2011 жылғы 26 желтоқсандағы № 202 Қаулысы. Қазақстан Республикасы Әділет министрлігінде 2012 жылы 18 ақпанда № 7428 тіркелді. Күші жойылды - Қазақстан Республикасы Ұлттық Банкі Басқармасының 2016 жылғы 30 мамырдағы № 126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30.05.2016 </w:t>
      </w:r>
      <w:r>
        <w:rPr>
          <w:rFonts w:ascii="Times New Roman"/>
          <w:b w:val="false"/>
          <w:i w:val="false"/>
          <w:color w:val="ff0000"/>
          <w:sz w:val="28"/>
        </w:rPr>
        <w:t>№ 126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 w:id="0"/>
    <w:p>
      <w:pPr>
        <w:spacing w:after="0"/>
        <w:ind w:left="0"/>
        <w:jc w:val="both"/>
      </w:pPr>
      <w:r>
        <w:rPr>
          <w:rFonts w:ascii="Times New Roman"/>
          <w:b w:val="false"/>
          <w:i w:val="false"/>
          <w:color w:val="000000"/>
          <w:sz w:val="28"/>
        </w:rPr>
        <w:t>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және Қазақстан Республикасы Ұлттық қорының активтерін сыртқы басқарушыларды таңдау тәртібін жетілдіру мақсатында Қазақстан Республикасы Ұлттық Банкінің Басқармасы</w:t>
      </w:r>
      <w:r>
        <w:rPr>
          <w:rFonts w:ascii="Times New Roman"/>
          <w:b/>
          <w:i w:val="false"/>
          <w:color w:val="000000"/>
          <w:sz w:val="28"/>
        </w:rPr>
        <w:t xml:space="preserve"> 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Республикасының Ұлттық Банкі Басқармасының «Қазақстан Республикасы Ұлттық қорының активтерін сыртқы басқарушыларды таңдау ережесін бекіту туралы» 2006 жылғы 25 шілдедегі № 66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4360 тіркелген)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Ұлттық қорының активтерін сыртқы басқарушыларды таңдау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2-1 тармақпен толықтырылсын:</w:t>
      </w:r>
      <w:r>
        <w:br/>
      </w:r>
      <w:r>
        <w:rPr>
          <w:rFonts w:ascii="Times New Roman"/>
          <w:b w:val="false"/>
          <w:i w:val="false"/>
          <w:color w:val="000000"/>
          <w:sz w:val="28"/>
        </w:rPr>
        <w:t>
      «2-1. Осы Ережеде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аймақтық мандат – инвестициялары бір елдің (нарықтың, аймақтың) шеңберінде шоғырландырылған портфель;</w:t>
      </w:r>
      <w:r>
        <w:br/>
      </w:r>
      <w:r>
        <w:rPr>
          <w:rFonts w:ascii="Times New Roman"/>
          <w:b w:val="false"/>
          <w:i w:val="false"/>
          <w:color w:val="000000"/>
          <w:sz w:val="28"/>
        </w:rPr>
        <w:t>
</w:t>
      </w:r>
      <w:r>
        <w:rPr>
          <w:rFonts w:ascii="Times New Roman"/>
          <w:b w:val="false"/>
          <w:i w:val="false"/>
          <w:color w:val="000000"/>
          <w:sz w:val="28"/>
        </w:rPr>
        <w:t>
      2) активтерді активтік басқару – кірістілік ауытқуының өзгермелілік мәні (tracking error) 0.5 пайыздан асуы мүмкін болатын басқару түрі;</w:t>
      </w:r>
      <w:r>
        <w:br/>
      </w:r>
      <w:r>
        <w:rPr>
          <w:rFonts w:ascii="Times New Roman"/>
          <w:b w:val="false"/>
          <w:i w:val="false"/>
          <w:color w:val="000000"/>
          <w:sz w:val="28"/>
        </w:rPr>
        <w:t>
</w:t>
      </w:r>
      <w:r>
        <w:rPr>
          <w:rFonts w:ascii="Times New Roman"/>
          <w:b w:val="false"/>
          <w:i w:val="false"/>
          <w:color w:val="000000"/>
          <w:sz w:val="28"/>
        </w:rPr>
        <w:t>
      3) активтерді пассивтік басқару – кірістілік ауытқуының өзгермелілік мәні (tracking error) 0.5 пайыздан аспаған кездегі басқару түрі. Пассивтік басқару кезінде сыртқы басқарудағы портфельдің кірістілігі шамамен эталондық портфельдің кірістілігіне тең болады;</w:t>
      </w:r>
      <w:r>
        <w:br/>
      </w:r>
      <w:r>
        <w:rPr>
          <w:rFonts w:ascii="Times New Roman"/>
          <w:b w:val="false"/>
          <w:i w:val="false"/>
          <w:color w:val="000000"/>
          <w:sz w:val="28"/>
        </w:rPr>
        <w:t>
</w:t>
      </w:r>
      <w:r>
        <w:rPr>
          <w:rFonts w:ascii="Times New Roman"/>
          <w:b w:val="false"/>
          <w:i w:val="false"/>
          <w:color w:val="000000"/>
          <w:sz w:val="28"/>
        </w:rPr>
        <w:t>
      4) активтерді сыртқы транзиттік басқару – бұл бір сыртқы басқарушыдан басқасына аударуға арналған активтер берілетін активтердің ауысуымен қатар жүретін тәуекелдерді төмендету мақсатында сыртқы транзиттік басқарушыға 6 (алты) айға дейінгі мерзімге берілетін басқару түрі;</w:t>
      </w:r>
      <w:r>
        <w:br/>
      </w:r>
      <w:r>
        <w:rPr>
          <w:rFonts w:ascii="Times New Roman"/>
          <w:b w:val="false"/>
          <w:i w:val="false"/>
          <w:color w:val="000000"/>
          <w:sz w:val="28"/>
        </w:rPr>
        <w:t>
</w:t>
      </w:r>
      <w:r>
        <w:rPr>
          <w:rFonts w:ascii="Times New Roman"/>
          <w:b w:val="false"/>
          <w:i w:val="false"/>
          <w:color w:val="000000"/>
          <w:sz w:val="28"/>
        </w:rPr>
        <w:t>
      5) ақпараттық коэффициент (information ratio) – тарихи жоғары кірістіліктің тәуекелдің тарихи деңгейіне (кірістілік ауытқуының өзгермелілігіне) қатысы;</w:t>
      </w:r>
      <w:r>
        <w:br/>
      </w:r>
      <w:r>
        <w:rPr>
          <w:rFonts w:ascii="Times New Roman"/>
          <w:b w:val="false"/>
          <w:i w:val="false"/>
          <w:color w:val="000000"/>
          <w:sz w:val="28"/>
        </w:rPr>
        <w:t>
</w:t>
      </w:r>
      <w:r>
        <w:rPr>
          <w:rFonts w:ascii="Times New Roman"/>
          <w:b w:val="false"/>
          <w:i w:val="false"/>
          <w:color w:val="000000"/>
          <w:sz w:val="28"/>
        </w:rPr>
        <w:t>
      6) ауқымды мандат – инвестициялары бір елдің (нарықтың, аймақтың) шеңберінен шығатын портфель;</w:t>
      </w:r>
      <w:r>
        <w:br/>
      </w:r>
      <w:r>
        <w:rPr>
          <w:rFonts w:ascii="Times New Roman"/>
          <w:b w:val="false"/>
          <w:i w:val="false"/>
          <w:color w:val="000000"/>
          <w:sz w:val="28"/>
        </w:rPr>
        <w:t>
</w:t>
      </w:r>
      <w:r>
        <w:rPr>
          <w:rFonts w:ascii="Times New Roman"/>
          <w:b w:val="false"/>
          <w:i w:val="false"/>
          <w:color w:val="000000"/>
          <w:sz w:val="28"/>
        </w:rPr>
        <w:t>
      7) бас ұйым – еншілес ұйымдар акцияларының бақылау пакетіне ие компания;</w:t>
      </w:r>
      <w:r>
        <w:br/>
      </w:r>
      <w:r>
        <w:rPr>
          <w:rFonts w:ascii="Times New Roman"/>
          <w:b w:val="false"/>
          <w:i w:val="false"/>
          <w:color w:val="000000"/>
          <w:sz w:val="28"/>
        </w:rPr>
        <w:t>
</w:t>
      </w:r>
      <w:r>
        <w:rPr>
          <w:rFonts w:ascii="Times New Roman"/>
          <w:b w:val="false"/>
          <w:i w:val="false"/>
          <w:color w:val="000000"/>
          <w:sz w:val="28"/>
        </w:rPr>
        <w:t>
      8) жоғары кірістілік деңгейі – кірістіліктің нақты жеткен деңгейі және эталондық портфель кірістілігінің деңгейі арасындағы айырма;</w:t>
      </w:r>
      <w:r>
        <w:br/>
      </w:r>
      <w:r>
        <w:rPr>
          <w:rFonts w:ascii="Times New Roman"/>
          <w:b w:val="false"/>
          <w:i w:val="false"/>
          <w:color w:val="000000"/>
          <w:sz w:val="28"/>
        </w:rPr>
        <w:t>
</w:t>
      </w:r>
      <w:r>
        <w:rPr>
          <w:rFonts w:ascii="Times New Roman"/>
          <w:b w:val="false"/>
          <w:i w:val="false"/>
          <w:color w:val="000000"/>
          <w:sz w:val="28"/>
        </w:rPr>
        <w:t>
      9) өкілетті өкіл – Қазақстан Республикасының Ұлттық Банкі (бұдан әрі – Ұлттық Банк) Басқармасының шешімімен белгіленетін, өкілеттіліктеріне Ұлттық Банктің атынан Қорды сенімгерлік басқару бойынша шешімдерді жедел қабылдау кіретін арнайы лауазымды тұлға (Ұлттық Банк Төрағасының орынбасарынан төмен емес деңгейде);</w:t>
      </w:r>
      <w:r>
        <w:br/>
      </w:r>
      <w:r>
        <w:rPr>
          <w:rFonts w:ascii="Times New Roman"/>
          <w:b w:val="false"/>
          <w:i w:val="false"/>
          <w:color w:val="000000"/>
          <w:sz w:val="28"/>
        </w:rPr>
        <w:t>
</w:t>
      </w:r>
      <w:r>
        <w:rPr>
          <w:rFonts w:ascii="Times New Roman"/>
          <w:b w:val="false"/>
          <w:i w:val="false"/>
          <w:color w:val="000000"/>
          <w:sz w:val="28"/>
        </w:rPr>
        <w:t>
      10) мамандандырылған мандат – басқару стильдерін әртараптандыру және сыртқы басқарушылар арасында теріс байланыс орнату мақсатында берілетін мандат;</w:t>
      </w:r>
      <w:r>
        <w:br/>
      </w:r>
      <w:r>
        <w:rPr>
          <w:rFonts w:ascii="Times New Roman"/>
          <w:b w:val="false"/>
          <w:i w:val="false"/>
          <w:color w:val="000000"/>
          <w:sz w:val="28"/>
        </w:rPr>
        <w:t>
</w:t>
      </w:r>
      <w:r>
        <w:rPr>
          <w:rFonts w:ascii="Times New Roman"/>
          <w:b w:val="false"/>
          <w:i w:val="false"/>
          <w:color w:val="000000"/>
          <w:sz w:val="28"/>
        </w:rPr>
        <w:t>
      11) мандат – белгілі бір инвестициялық сипаттамалары бар портфель;</w:t>
      </w:r>
      <w:r>
        <w:br/>
      </w:r>
      <w:r>
        <w:rPr>
          <w:rFonts w:ascii="Times New Roman"/>
          <w:b w:val="false"/>
          <w:i w:val="false"/>
          <w:color w:val="000000"/>
          <w:sz w:val="28"/>
        </w:rPr>
        <w:t>
</w:t>
      </w:r>
      <w:r>
        <w:rPr>
          <w:rFonts w:ascii="Times New Roman"/>
          <w:b w:val="false"/>
          <w:i w:val="false"/>
          <w:color w:val="000000"/>
          <w:sz w:val="28"/>
        </w:rPr>
        <w:t>
      12) маржа шоты – бұл туынды қаржы құралдарымен операциялар жүргізу үшін биржалармен аффилиирленген ұйым болып табылатын, туынды қаржы құралдарымен операциялар бойынша есеп айрысулардың шынайылығын, жеткізуді және жүргізуді қамтамасыз ететін клирингтік ұйымда ашылған шот;</w:t>
      </w:r>
      <w:r>
        <w:br/>
      </w:r>
      <w:r>
        <w:rPr>
          <w:rFonts w:ascii="Times New Roman"/>
          <w:b w:val="false"/>
          <w:i w:val="false"/>
          <w:color w:val="000000"/>
          <w:sz w:val="28"/>
        </w:rPr>
        <w:t>
</w:t>
      </w:r>
      <w:r>
        <w:rPr>
          <w:rFonts w:ascii="Times New Roman"/>
          <w:b w:val="false"/>
          <w:i w:val="false"/>
          <w:color w:val="000000"/>
          <w:sz w:val="28"/>
        </w:rPr>
        <w:t>
      13) сыртқы басқарушы – клиенттердің активтерін сенімгерлік басқаруға маманданатын және қызметін халықаралық қаржы нарықтарында жүзеге асыратын инвестициялық компания және/немесе инвестициялық банк;</w:t>
      </w:r>
      <w:r>
        <w:br/>
      </w:r>
      <w:r>
        <w:rPr>
          <w:rFonts w:ascii="Times New Roman"/>
          <w:b w:val="false"/>
          <w:i w:val="false"/>
          <w:color w:val="000000"/>
          <w:sz w:val="28"/>
        </w:rPr>
        <w:t>
</w:t>
      </w:r>
      <w:r>
        <w:rPr>
          <w:rFonts w:ascii="Times New Roman"/>
          <w:b w:val="false"/>
          <w:i w:val="false"/>
          <w:color w:val="000000"/>
          <w:sz w:val="28"/>
        </w:rPr>
        <w:t>
      14) сыртқы транзиттік басқарушы – клиенттердің активтерін транзиттік басқаруға маманданатын және өз қызметін халықаралық қаржы нарығында жүзеге асыратын инвестициялық компания және/немесе инвестициялық банк;</w:t>
      </w:r>
      <w:r>
        <w:br/>
      </w:r>
      <w:r>
        <w:rPr>
          <w:rFonts w:ascii="Times New Roman"/>
          <w:b w:val="false"/>
          <w:i w:val="false"/>
          <w:color w:val="000000"/>
          <w:sz w:val="28"/>
        </w:rPr>
        <w:t>
</w:t>
      </w:r>
      <w:r>
        <w:rPr>
          <w:rFonts w:ascii="Times New Roman"/>
          <w:b w:val="false"/>
          <w:i w:val="false"/>
          <w:color w:val="000000"/>
          <w:sz w:val="28"/>
        </w:rPr>
        <w:t>
      15) уәкілетті бөлімше – Ұлттық Банктің Монетарлық операциялар департаменті.»;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2-тарау</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19-1</w:t>
      </w:r>
      <w:r>
        <w:rPr>
          <w:rFonts w:ascii="Times New Roman"/>
          <w:b w:val="false"/>
          <w:i w:val="false"/>
          <w:color w:val="000000"/>
          <w:sz w:val="28"/>
        </w:rPr>
        <w:t xml:space="preserve"> және </w:t>
      </w:r>
      <w:r>
        <w:rPr>
          <w:rFonts w:ascii="Times New Roman"/>
          <w:b w:val="false"/>
          <w:i w:val="false"/>
          <w:color w:val="000000"/>
          <w:sz w:val="28"/>
        </w:rPr>
        <w:t>19-2</w:t>
      </w:r>
      <w:r>
        <w:rPr>
          <w:rFonts w:ascii="Times New Roman"/>
          <w:b w:val="false"/>
          <w:i w:val="false"/>
          <w:color w:val="000000"/>
          <w:sz w:val="28"/>
        </w:rPr>
        <w:t>-тармақтар мынадай редакцияда жазылсын:</w:t>
      </w:r>
      <w:r>
        <w:br/>
      </w:r>
      <w:r>
        <w:rPr>
          <w:rFonts w:ascii="Times New Roman"/>
          <w:b w:val="false"/>
          <w:i w:val="false"/>
          <w:color w:val="000000"/>
          <w:sz w:val="28"/>
        </w:rPr>
        <w:t>
      «19-1. Активтердің бір сыртқы басқарушыға берілетін бөлігінің көлемі 300 (үш жүз) миллион АҚШ доллары баламасынан асатын мандаттар үшін міндетті критерийлер:</w:t>
      </w:r>
      <w:r>
        <w:br/>
      </w:r>
      <w:r>
        <w:rPr>
          <w:rFonts w:ascii="Times New Roman"/>
          <w:b w:val="false"/>
          <w:i w:val="false"/>
          <w:color w:val="000000"/>
          <w:sz w:val="28"/>
        </w:rPr>
        <w:t>
</w:t>
      </w:r>
      <w:r>
        <w:rPr>
          <w:rFonts w:ascii="Times New Roman"/>
          <w:b w:val="false"/>
          <w:i w:val="false"/>
          <w:color w:val="000000"/>
          <w:sz w:val="28"/>
        </w:rPr>
        <w:t>
      1) Қордың активтерін инвестициялау болжанатын қаржы құралдарымен кемінде 10 жыл жұмыс тәжірибесінің болуы.</w:t>
      </w:r>
      <w:r>
        <w:br/>
      </w:r>
      <w:r>
        <w:rPr>
          <w:rFonts w:ascii="Times New Roman"/>
          <w:b w:val="false"/>
          <w:i w:val="false"/>
          <w:color w:val="000000"/>
          <w:sz w:val="28"/>
        </w:rPr>
        <w:t>
</w:t>
      </w:r>
      <w:r>
        <w:rPr>
          <w:rFonts w:ascii="Times New Roman"/>
          <w:b w:val="false"/>
          <w:i w:val="false"/>
          <w:color w:val="000000"/>
          <w:sz w:val="28"/>
        </w:rPr>
        <w:t>
      Егер ауқымды мандат бойынша сыртқы басқарушыны таңдау бойынша тендер жарияланса, ал тендер қатысушысының басқаруында тек осыған ұқсас аймақтық мандаттар болса, онда ауқымды мандатты кемінде 75 (жетпіс бес) пайызын қамту құрайтын аймақтық мандаттар бойынша кемінде 10 жыл жұмыс тәжірибесінің болуы;</w:t>
      </w:r>
      <w:r>
        <w:br/>
      </w:r>
      <w:r>
        <w:rPr>
          <w:rFonts w:ascii="Times New Roman"/>
          <w:b w:val="false"/>
          <w:i w:val="false"/>
          <w:color w:val="000000"/>
          <w:sz w:val="28"/>
        </w:rPr>
        <w:t>
</w:t>
      </w:r>
      <w:r>
        <w:rPr>
          <w:rFonts w:ascii="Times New Roman"/>
          <w:b w:val="false"/>
          <w:i w:val="false"/>
          <w:color w:val="000000"/>
          <w:sz w:val="28"/>
        </w:rPr>
        <w:t>
      2) басқарудағы активтердің мөлшері: сыртқы басқарушының басқаруында клиенттердің кемінде 25 (жиырма бес) миллиард АҚШ доллары баламасындағы жиынтық активтерінің болуы;</w:t>
      </w:r>
      <w:r>
        <w:br/>
      </w:r>
      <w:r>
        <w:rPr>
          <w:rFonts w:ascii="Times New Roman"/>
          <w:b w:val="false"/>
          <w:i w:val="false"/>
          <w:color w:val="000000"/>
          <w:sz w:val="28"/>
        </w:rPr>
        <w:t>
</w:t>
      </w:r>
      <w:r>
        <w:rPr>
          <w:rFonts w:ascii="Times New Roman"/>
          <w:b w:val="false"/>
          <w:i w:val="false"/>
          <w:color w:val="000000"/>
          <w:sz w:val="28"/>
        </w:rPr>
        <w:t>
      3) қарастырылып отырған мандат түрі бойынша басқарудағы активтердің мөлшері: сыртқы басқарушыда қаралып отырған мандат түрі бойынша клиенттердің жиынтық активтері 1 (бір) миллиард АҚШ доллары баламасынан кем болмауы тиіс.</w:t>
      </w:r>
      <w:r>
        <w:br/>
      </w:r>
      <w:r>
        <w:rPr>
          <w:rFonts w:ascii="Times New Roman"/>
          <w:b w:val="false"/>
          <w:i w:val="false"/>
          <w:color w:val="000000"/>
          <w:sz w:val="28"/>
        </w:rPr>
        <w:t>
</w:t>
      </w:r>
      <w:r>
        <w:rPr>
          <w:rFonts w:ascii="Times New Roman"/>
          <w:b w:val="false"/>
          <w:i w:val="false"/>
          <w:color w:val="000000"/>
          <w:sz w:val="28"/>
        </w:rPr>
        <w:t>
      Егер ауқымды мандат бойынша сыртқы басқарушыны таңдау бойынша тендер жарияланса, ал тендер қатысушысының басқаруында тек қана осыған ұқсас аймақтық мандаттар болса, онда ауқымды мандатты кемінде 75 (жетпіс бес) пайызын қамту құрайтын аймақтық мандаттар бойынша кемінде 1 (бір) миллиард АҚШ доллары баламасынан кем болмауы тиіс.</w:t>
      </w:r>
      <w:r>
        <w:br/>
      </w:r>
      <w:r>
        <w:rPr>
          <w:rFonts w:ascii="Times New Roman"/>
          <w:b w:val="false"/>
          <w:i w:val="false"/>
          <w:color w:val="000000"/>
          <w:sz w:val="28"/>
        </w:rPr>
        <w:t>
</w:t>
      </w:r>
      <w:r>
        <w:rPr>
          <w:rFonts w:ascii="Times New Roman"/>
          <w:b w:val="false"/>
          <w:i w:val="false"/>
          <w:color w:val="000000"/>
          <w:sz w:val="28"/>
        </w:rPr>
        <w:t>
      19-2. Активтердің бір сыртқы басқарушыға берілетін бөлігінің көлемі 300 (үш жүз) миллион АҚШ доллары баламасынан аспайтын мамандандырылған мандаттар үшін міндетті критерийлер:</w:t>
      </w:r>
      <w:r>
        <w:br/>
      </w:r>
      <w:r>
        <w:rPr>
          <w:rFonts w:ascii="Times New Roman"/>
          <w:b w:val="false"/>
          <w:i w:val="false"/>
          <w:color w:val="000000"/>
          <w:sz w:val="28"/>
        </w:rPr>
        <w:t>
</w:t>
      </w:r>
      <w:r>
        <w:rPr>
          <w:rFonts w:ascii="Times New Roman"/>
          <w:b w:val="false"/>
          <w:i w:val="false"/>
          <w:color w:val="000000"/>
          <w:sz w:val="28"/>
        </w:rPr>
        <w:t>
      1) Қордың активтерін инвестициялау болжанатын қаржы құралдарымен кемінде 5 жыл жұмыс тәжірибесінің болуы.</w:t>
      </w:r>
      <w:r>
        <w:br/>
      </w:r>
      <w:r>
        <w:rPr>
          <w:rFonts w:ascii="Times New Roman"/>
          <w:b w:val="false"/>
          <w:i w:val="false"/>
          <w:color w:val="000000"/>
          <w:sz w:val="28"/>
        </w:rPr>
        <w:t>
</w:t>
      </w:r>
      <w:r>
        <w:rPr>
          <w:rFonts w:ascii="Times New Roman"/>
          <w:b w:val="false"/>
          <w:i w:val="false"/>
          <w:color w:val="000000"/>
          <w:sz w:val="28"/>
        </w:rPr>
        <w:t>
      Егер ауқымды мандат бойынша сыртқы басқарушыны таңдау бойынша тендер жарияланса, ал тендер қатысушысының басқаруында тек қана осыған ұқсас аймақтық мандаттар болса, онда ауқымды мандатты кемінде 75 (жетпіс бес) пайызын қамту құрайтын аймақтық мандаттар бойынша кемінде 5 жыл жұмыс тәжірибесінің болуы;</w:t>
      </w:r>
      <w:r>
        <w:br/>
      </w:r>
      <w:r>
        <w:rPr>
          <w:rFonts w:ascii="Times New Roman"/>
          <w:b w:val="false"/>
          <w:i w:val="false"/>
          <w:color w:val="000000"/>
          <w:sz w:val="28"/>
        </w:rPr>
        <w:t>
</w:t>
      </w:r>
      <w:r>
        <w:rPr>
          <w:rFonts w:ascii="Times New Roman"/>
          <w:b w:val="false"/>
          <w:i w:val="false"/>
          <w:color w:val="000000"/>
          <w:sz w:val="28"/>
        </w:rPr>
        <w:t>
      2) басқарудағы активтердің мөлшері: басқаруында клиенттердің жиынтық активтерінің мөлшері кемінде 1 (бір) миллиард АҚШ доллары болуы тиіс баламалы құралдар мандаттары бойынша сыртқы басқарушыларды қоспағанда, сыртқы басқарушының басқаруында баламасы 3 (үш) миллиард АҚШ долларынан кем емес клиенттердің жиынтық активтері болуы тиіс;</w:t>
      </w:r>
      <w:r>
        <w:br/>
      </w:r>
      <w:r>
        <w:rPr>
          <w:rFonts w:ascii="Times New Roman"/>
          <w:b w:val="false"/>
          <w:i w:val="false"/>
          <w:color w:val="000000"/>
          <w:sz w:val="28"/>
        </w:rPr>
        <w:t>
</w:t>
      </w:r>
      <w:r>
        <w:rPr>
          <w:rFonts w:ascii="Times New Roman"/>
          <w:b w:val="false"/>
          <w:i w:val="false"/>
          <w:color w:val="000000"/>
          <w:sz w:val="28"/>
        </w:rPr>
        <w:t>
      3) қарастырылып отырған мандат түрі бойынша басқарудағы активтердің мөлшері: сыртқы басқарушыда мандаттың қарастырылып отырған түрі бойынша баламасы 500 (бес жүз) миллион АҚШ доллары баламасынан кем емес клиенттердің жиынтық активтері болуы тиіс.</w:t>
      </w:r>
      <w:r>
        <w:br/>
      </w:r>
      <w:r>
        <w:rPr>
          <w:rFonts w:ascii="Times New Roman"/>
          <w:b w:val="false"/>
          <w:i w:val="false"/>
          <w:color w:val="000000"/>
          <w:sz w:val="28"/>
        </w:rPr>
        <w:t>
</w:t>
      </w:r>
      <w:r>
        <w:rPr>
          <w:rFonts w:ascii="Times New Roman"/>
          <w:b w:val="false"/>
          <w:i w:val="false"/>
          <w:color w:val="000000"/>
          <w:sz w:val="28"/>
        </w:rPr>
        <w:t>
      Егер ауқымды мандат бойынша сыртқы басқарушыны таңдау бойынша тендер жарияланса, ал тендер қатысушысының басқаруында тек қана осыған ұқсас аймақтық мандаттар болса, онда ауқымды мандатты кемінде 75 (жетпіс бес) пайызын қамту құрайтын аймақтық мандаттар бойынша кемінде 500 (бес жүз) миллион АҚШ доллары баламасынан кем болмауы тиіс.»;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2-қосымша</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Ұлттық Банк</w:t>
      </w:r>
      <w:r>
        <w:br/>
      </w:r>
      <w:r>
        <w:rPr>
          <w:rFonts w:ascii="Times New Roman"/>
          <w:b w:val="false"/>
          <w:i w:val="false"/>
          <w:color w:val="000000"/>
          <w:sz w:val="28"/>
        </w:rPr>
        <w:t>
</w:t>
      </w:r>
      <w:r>
        <w:rPr>
          <w:rFonts w:ascii="Times New Roman"/>
          <w:b w:val="false"/>
          <w:i/>
          <w:color w:val="000000"/>
          <w:sz w:val="28"/>
        </w:rPr>
        <w:t>      Төрағасы                                      Г. Марченко</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Қаржы министрі</w:t>
      </w:r>
      <w:r>
        <w:br/>
      </w:r>
      <w:r>
        <w:rPr>
          <w:rFonts w:ascii="Times New Roman"/>
          <w:b w:val="false"/>
          <w:i w:val="false"/>
          <w:color w:val="000000"/>
          <w:sz w:val="28"/>
        </w:rPr>
        <w:t>
      Б. Жәмішев</w:t>
      </w:r>
      <w:r>
        <w:br/>
      </w:r>
      <w:r>
        <w:rPr>
          <w:rFonts w:ascii="Times New Roman"/>
          <w:b w:val="false"/>
          <w:i w:val="false"/>
          <w:color w:val="000000"/>
          <w:sz w:val="28"/>
        </w:rPr>
        <w:t>
      2012 жылғы 19 қаңтар</w:t>
      </w:r>
    </w:p>
    <w:bookmarkStart w:name="z35" w:id="1"/>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Ұлттық Банкі Басқармасының</w:t>
      </w:r>
      <w:r>
        <w:br/>
      </w:r>
      <w:r>
        <w:rPr>
          <w:rFonts w:ascii="Times New Roman"/>
          <w:b w:val="false"/>
          <w:i w:val="false"/>
          <w:color w:val="000000"/>
          <w:sz w:val="28"/>
        </w:rPr>
        <w:t>
2011 жылғы 26 желтоқсандағы</w:t>
      </w:r>
      <w:r>
        <w:br/>
      </w:r>
      <w:r>
        <w:rPr>
          <w:rFonts w:ascii="Times New Roman"/>
          <w:b w:val="false"/>
          <w:i w:val="false"/>
          <w:color w:val="000000"/>
          <w:sz w:val="28"/>
        </w:rPr>
        <w:t xml:space="preserve">
№ 202 қаулысына   </w:t>
      </w:r>
      <w:r>
        <w:br/>
      </w:r>
      <w:r>
        <w:rPr>
          <w:rFonts w:ascii="Times New Roman"/>
          <w:b w:val="false"/>
          <w:i w:val="false"/>
          <w:color w:val="000000"/>
          <w:sz w:val="28"/>
        </w:rPr>
        <w:t xml:space="preserve">
қосымша        </w:t>
      </w:r>
    </w:p>
    <w:bookmarkEnd w:id="1"/>
    <w:bookmarkStart w:name="z36" w:id="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Ұлттық қорының активтерін</w:t>
      </w:r>
      <w:r>
        <w:br/>
      </w:r>
      <w:r>
        <w:rPr>
          <w:rFonts w:ascii="Times New Roman"/>
          <w:b w:val="false"/>
          <w:i w:val="false"/>
          <w:color w:val="000000"/>
          <w:sz w:val="28"/>
        </w:rPr>
        <w:t xml:space="preserve">
сыртқы басқарушыларды </w:t>
      </w:r>
      <w:r>
        <w:br/>
      </w:r>
      <w:r>
        <w:rPr>
          <w:rFonts w:ascii="Times New Roman"/>
          <w:b w:val="false"/>
          <w:i w:val="false"/>
          <w:color w:val="000000"/>
          <w:sz w:val="28"/>
        </w:rPr>
        <w:t xml:space="preserve">
таңдау ережесіне   </w:t>
      </w:r>
      <w:r>
        <w:br/>
      </w:r>
      <w:r>
        <w:rPr>
          <w:rFonts w:ascii="Times New Roman"/>
          <w:b w:val="false"/>
          <w:i w:val="false"/>
          <w:color w:val="000000"/>
          <w:sz w:val="28"/>
        </w:rPr>
        <w:t xml:space="preserve">
2-қосымша     </w:t>
      </w:r>
    </w:p>
    <w:bookmarkEnd w:id="2"/>
    <w:bookmarkStart w:name="z37" w:id="3"/>
    <w:p>
      <w:pPr>
        <w:spacing w:after="0"/>
        <w:ind w:left="0"/>
        <w:jc w:val="left"/>
      </w:pPr>
      <w:r>
        <w:rPr>
          <w:rFonts w:ascii="Times New Roman"/>
          <w:b/>
          <w:i w:val="false"/>
          <w:color w:val="000000"/>
        </w:rPr>
        <w:t xml:space="preserve"> 
Сыртқы басқарушылардың ұсыныстарын салыстырмалы талдауға</w:t>
      </w:r>
      <w:r>
        <w:br/>
      </w:r>
      <w:r>
        <w:rPr>
          <w:rFonts w:ascii="Times New Roman"/>
          <w:b/>
          <w:i w:val="false"/>
          <w:color w:val="000000"/>
        </w:rPr>
        <w:t>
арналған бағалау критерийлері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4"/>
        <w:gridCol w:w="8349"/>
        <w:gridCol w:w="3897"/>
      </w:tblGrid>
      <w:tr>
        <w:trPr>
          <w:trHeight w:val="25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Критерийдің мәні (пайызбен)</w:t>
            </w:r>
          </w:p>
        </w:tc>
      </w:tr>
      <w:tr>
        <w:trPr>
          <w:trHeight w:val="25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Портфельді басқарудың тарихи нәтижелері (аймақтық мандаттарға маманданған және ауқымды мандат бойынша басқарушыны таңдауға қатысатын әлеуетті сыртқы басқарушылардың ұсыныстарына салыстырмалы талдау жүргізген кезде көрсеткіштер тиісті мандаттың қамтуына байланысты нормаланады)</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510" w:hRule="atLeast"/>
        </w:trPr>
        <w:tc>
          <w:tcPr>
            <w:tcW w:w="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мандат түрі бойынша соңғы 5 жылдағы үстеме кірістіліктің орташа деңгейі</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510" w:hRule="atLeast"/>
        </w:trPr>
        <w:tc>
          <w:tcPr>
            <w:tcW w:w="0" w:type="auto"/>
            <w:vMerge/>
            <w:tcBorders>
              <w:top w:val="nil"/>
              <w:left w:val="single" w:color="cfcfcf" w:sz="5"/>
              <w:bottom w:val="single" w:color="cfcfcf" w:sz="5"/>
              <w:right w:val="single" w:color="cfcfcf" w:sz="5"/>
            </w:tcBorders>
          </w:tcPr>
          <w:p/>
        </w:tc>
        <w:tc>
          <w:tcPr>
            <w:tcW w:w="8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коэффициент</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28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мандат түрі бойынша активтер көлемінің басқарудағы жалпы активтерге пайызы (аймақтық мандаттарға маманданған және ауқымды мандат бойынша басқарушыны таңдауға қатысатын әлеуетті сыртқы басқарушылардың ұсыныстарына салыстырмалы талдау жүргізген кезде аймақтық мандаттар бойынша активтердің көлемі пайдаланылады. Бұл мән тиісті мандаттың қамтуына байланысты нормаланады)</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285" w:hRule="atLeast"/>
        </w:trPr>
        <w:tc>
          <w:tcPr>
            <w:tcW w:w="0" w:type="auto"/>
            <w:vMerge/>
            <w:tcBorders>
              <w:top w:val="nil"/>
              <w:left w:val="single" w:color="cfcfcf" w:sz="5"/>
              <w:bottom w:val="single" w:color="cfcfcf" w:sz="5"/>
              <w:right w:val="single" w:color="cfcfcf" w:sz="5"/>
            </w:tcBorders>
          </w:tcPr>
          <w:p/>
        </w:tc>
        <w:tc>
          <w:tcPr>
            <w:tcW w:w="8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институционалдық инвесторлардың активтері көлемінің басқарудағы жалпы активтерге пайызы</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28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Команда</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0" w:hRule="atLeast"/>
        </w:trPr>
        <w:tc>
          <w:tcPr>
            <w:tcW w:w="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портфельдік менеджерлердің және талдаушылардың орташа жұмыс тәжірибесі</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0" w:hRule="atLeast"/>
        </w:trPr>
        <w:tc>
          <w:tcPr>
            <w:tcW w:w="0" w:type="auto"/>
            <w:vMerge/>
            <w:tcBorders>
              <w:top w:val="nil"/>
              <w:left w:val="single" w:color="cfcfcf" w:sz="5"/>
              <w:bottom w:val="single" w:color="cfcfcf" w:sz="5"/>
              <w:right w:val="single" w:color="cfcfcf" w:sz="5"/>
            </w:tcBorders>
          </w:tcPr>
          <w:p/>
        </w:tc>
        <w:tc>
          <w:tcPr>
            <w:tcW w:w="8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тұрақтамауының төмен болуы</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4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мәртебе</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бас ұйымның кепілдігі болса не келісімге бас ұйым қол қойған жағдайда, онда бас ұйымның кредиттік рейтингісі (S&amp;P немесе Moody's), керісінше жағдайда компанияның кредиттік рейтингісі</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үшін төленетін комиссияның деңгейі</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90" w:hRule="atLeast"/>
        </w:trPr>
        <w:tc>
          <w:tcPr>
            <w:tcW w:w="0" w:type="auto"/>
            <w:vMerge/>
            <w:tcBorders>
              <w:top w:val="nil"/>
              <w:left w:val="single" w:color="cfcfcf" w:sz="5"/>
              <w:bottom w:val="single" w:color="cfcfcf" w:sz="5"/>
              <w:right w:val="single" w:color="cfcfcf" w:sz="5"/>
            </w:tcBorders>
          </w:tcPr>
          <w:p/>
        </w:tc>
        <w:tc>
          <w:tcPr>
            <w:tcW w:w="8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комиссияның деңгейі</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90" w:hRule="atLeast"/>
        </w:trPr>
        <w:tc>
          <w:tcPr>
            <w:tcW w:w="0" w:type="auto"/>
            <w:vMerge/>
            <w:tcBorders>
              <w:top w:val="nil"/>
              <w:left w:val="single" w:color="cfcfcf" w:sz="5"/>
              <w:bottom w:val="single" w:color="cfcfcf" w:sz="5"/>
              <w:right w:val="single" w:color="cfcfcf" w:sz="5"/>
            </w:tcBorders>
          </w:tcPr>
          <w:p/>
        </w:tc>
        <w:tc>
          <w:tcPr>
            <w:tcW w:w="8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Net new high basis since inception қағидатын қабылдау</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42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Сервис</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55" w:hRule="atLeast"/>
        </w:trPr>
        <w:tc>
          <w:tcPr>
            <w:tcW w:w="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Банктің мамандарын оқыту</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285" w:hRule="atLeast"/>
        </w:trPr>
        <w:tc>
          <w:tcPr>
            <w:tcW w:w="0" w:type="auto"/>
            <w:vMerge/>
            <w:tcBorders>
              <w:top w:val="nil"/>
              <w:left w:val="single" w:color="cfcfcf" w:sz="5"/>
              <w:bottom w:val="single" w:color="cfcfcf" w:sz="5"/>
              <w:right w:val="single" w:color="cfcfcf" w:sz="5"/>
            </w:tcBorders>
          </w:tcPr>
          <w:p/>
        </w:tc>
        <w:tc>
          <w:tcPr>
            <w:tcW w:w="8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сайынғы есептілік</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8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Тәуекелдерді бақылау және басқару бойынша арнайы бағдарламалық қамтамасыз етудің болуы</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8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басқару бойынша келісімнің талаптарын бұзған жағдайда Ұлттық Банк алдында жауапкершілік қабылдау</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