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f764" w14:textId="d89f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басқару жөніндегі уәкілетті органды қоспағанда, оригинаторға қойылатын талаптарды белгілеу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2011 жылғы 28 қазандағы № 172 Қаулысы. Қазақстан Республикасының Әділет министрлігінде 2011 жылы 13 желтоқсанда № 7337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Мемлекеттік мүлікті басқару жөніндегі </w:t>
      </w:r>
      <w:r>
        <w:rPr>
          <w:rFonts w:ascii="Times New Roman"/>
          <w:b w:val="false"/>
          <w:i w:val="false"/>
          <w:color w:val="000000"/>
          <w:sz w:val="28"/>
        </w:rPr>
        <w:t>уәкілетті органды</w:t>
      </w:r>
      <w:r>
        <w:rPr>
          <w:rFonts w:ascii="Times New Roman"/>
          <w:b w:val="false"/>
          <w:i w:val="false"/>
          <w:color w:val="000000"/>
          <w:sz w:val="28"/>
        </w:rPr>
        <w:t xml:space="preserve"> қоспағанда, оригинаторға мынадай талаптар белгіленсін:</w:t>
      </w:r>
    </w:p>
    <w:bookmarkEnd w:id="1"/>
    <w:bookmarkStart w:name="z3" w:id="2"/>
    <w:p>
      <w:pPr>
        <w:spacing w:after="0"/>
        <w:ind w:left="0"/>
        <w:jc w:val="both"/>
      </w:pPr>
      <w:r>
        <w:rPr>
          <w:rFonts w:ascii="Times New Roman"/>
          <w:b w:val="false"/>
          <w:i w:val="false"/>
          <w:color w:val="000000"/>
          <w:sz w:val="28"/>
        </w:rPr>
        <w:t>
      1) оригинатордың меншікті капиталы аудиторлық есеппен расталған, соңғы есепті күнгі жеке жылдық қаржылық есептілікке (бұдан әрі - қаржылық есептілік) сәйкес оның жарғылық капиталынан кем болмауы тиіс. Бұл ретте оригинатордың меншікті капиталы аудиторлық есеппен расталған, соңғы есепті күнгі қаржылық есептілікке сәйкес кемінде бір жүз жетпіс бір мың есе айлық есептік көрсеткіштің мөлшеріне балама соманы құрайды;</w:t>
      </w:r>
    </w:p>
    <w:bookmarkEnd w:id="2"/>
    <w:bookmarkStart w:name="z4" w:id="3"/>
    <w:p>
      <w:pPr>
        <w:spacing w:after="0"/>
        <w:ind w:left="0"/>
        <w:jc w:val="both"/>
      </w:pPr>
      <w:r>
        <w:rPr>
          <w:rFonts w:ascii="Times New Roman"/>
          <w:b w:val="false"/>
          <w:i w:val="false"/>
          <w:color w:val="000000"/>
          <w:sz w:val="28"/>
        </w:rPr>
        <w:t>
      2) аудиторлық есеппен расталған, соңғы есепті күнгі қаржылық есептілікке сәйкес соңғы екі жылдың бір жылында таза пайданың болуы;</w:t>
      </w:r>
    </w:p>
    <w:bookmarkEnd w:id="3"/>
    <w:bookmarkStart w:name="z5" w:id="4"/>
    <w:p>
      <w:pPr>
        <w:spacing w:after="0"/>
        <w:ind w:left="0"/>
        <w:jc w:val="both"/>
      </w:pPr>
      <w:r>
        <w:rPr>
          <w:rFonts w:ascii="Times New Roman"/>
          <w:b w:val="false"/>
          <w:i w:val="false"/>
          <w:color w:val="000000"/>
          <w:sz w:val="28"/>
        </w:rPr>
        <w:t>
      3) оригинатор левереджінің көлемі аудиторлық есеппен расталған, соңғы есепті күнгі жағдай бойынша қаржылық есептілік негізінде есептелетін 7 (жеті) левереджден аспауға тиіс. Осы тармақшаның талабы қаржы ұйымдарына қолданылмайды;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Банкі Басқармасының 31.01.2019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оригинатор мен ислам арнайы қаржы компаниясы арасындағы активтерді сатып алу-сату шарты жасалған немесе, оригинатор ислам арнайы қаржы компаниясының құрылтайшысы болған жағдайда, ол құрылған айдың алдындағы соңғы үш айда пруденциалдық нормативтерді сақтауы. Осы тармақшаның талабы қаржы ұйымдарына ғана қолданылады.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31.01.2019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