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9ef4" w14:textId="b829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 57-НҚ бұйрығына толықтыру енгізу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2011 жылғы 7 қарашадағы № 349-НҚ бұйрығы. Қазақстан Республикасы Әділет министрлігінде 2011 жылы 8 қарашада № 7288 тіркелді</w:t>
      </w:r>
    </w:p>
    <w:p>
      <w:pPr>
        <w:spacing w:after="0"/>
        <w:ind w:left="0"/>
        <w:jc w:val="both"/>
      </w:pPr>
      <w:bookmarkStart w:name="z1" w:id="0"/>
      <w:r>
        <w:rPr>
          <w:rFonts w:ascii="Times New Roman"/>
          <w:b w:val="false"/>
          <w:i w:val="false"/>
          <w:color w:val="000000"/>
          <w:sz w:val="28"/>
        </w:rPr>
        <w:t>
      «Электр энергетикасы туралы» Қазақстан Республикасы Заңының 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5602 нөмірмен тіркелген, «Заң газеті» газетінің 2009 жылғы 10 сәуірдегі № 53 (1476) нөмірінде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бірінші бөліктен кейін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«Асыра тұтынғаны үшін ең жоғары тариф бойынша ақы алынатын электр энергиясын тұтынудың шамасын электр плиталарын пайдаланатын және пайдаланбайтын жасы бойынша зейнеткерліктегі жалғыз тұратын адамдар, мүгедектер, Ұлы Отан соғысына қатысушылар және оларға теңестірілген тұлғалар үшін, жеке меншігінде біреуден артық тұрғын үй-жайы (пәтері) бар аталған тұлғаларды қоспағанда, жергілікті атқарушы органның (облыс, республикалық маңызы бар қала, астана әкімдігінің) келісімі бойынша уәкілетті орган белгілейді.».</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аумақтық органдары осы бұйрықтың 1-тармағының төртінші абзацында көзделген жағдайлар орын алған бұрын қабылданған шешімдерге өзгерістер енгізсін.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Электр және жылу энергетикасы саласындағы реттеу департаменті (Қ.Т.Көккөзова)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(Р.Е.Сүлейменова) осы бұйрықты Қазақстан Республикасының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бұқаралық ақпарат құралдарында белгіленген тәртіппен жариялауды және тиісті ақпаратты кейіннен Заң департаментіне (М.Ш.Мукушева) ұсынуды қамтамасыз етсін;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А.В.Шкарупаға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рет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Н. Алдабергенов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