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9b30" w14:textId="ed59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 сондай-ақ Қазақстан Республикасының өзге де заңнамасының нормаларын орындау салық қызметі органдарына жүктелген бақылауды орындау мәселелері жөніндегі жеке кәсіпкерлік саласында жоспарлы кешендік немесе жоспарлы тақырыптық салық тексерулері жөніндегі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16 қыркүйектегі № 469 және Қазақстан Республикасы Экономикалық даму және Сауда министрінің м.а 2011 жылғы 16 қыркүйектегі № 304 Бірлескен бұйрығы. Қазақстан Республикасы Әділет министрлігінде 2011 жылы 10 қазанда № 7252 тіркелді. Күші жойылды - Қазақстан Республикасы Қаржы министрінің 2015 жылғы 15 қаңтардағы № 25 және Қазақстан Республикасы Ұлттық экономика министрінің 2015 жылғы 22 қаңтардағы № 40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15.01.2015 № 25 және ҚР Ұлттық экономика министрінің 22.01.2015 № 40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Салық заңнамасы, сондай-ақ Қазақстан Республикасының өзге де заңнамасының нормаларын орындау салық қызметі органдарына жүктелген бақылауды орындау мәселелері жөніндегі жеке кәсіпкерлік саласында жоспарлы кешендік немесе жоспарлы тақырыптық тексеру жөніндегі </w:t>
      </w:r>
      <w:r>
        <w:rPr>
          <w:rFonts w:ascii="Times New Roman"/>
          <w:b w:val="false"/>
          <w:i w:val="false"/>
          <w:color w:val="000000"/>
          <w:sz w:val="28"/>
        </w:rPr>
        <w:t>тексеру парағының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2. «Салықтық тексерулер бойынша тексеру парақтарының нысандарын бекіту туралы» Қазақстан Республикасы Қаржы министрінің 2010 жылғы 2 ақпандағы № 32 және Қазақстан Республикасы Экономика және бюджеттік жоспарлау министрінің 2010 жылғы 4 ақпандағы № 27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6037 болып тіркелген, «Егемен Қазақстан» газетінде 2010 жылғы 20 ақпанда № 63-65 (25911)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(Д.Е. Ерғожин):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______________ Б. Жәмішев       министрінің м.а.                                                      ___________ М. 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469,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304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нысан</w:t>
      </w:r>
    </w:p>
    <w:bookmarkStart w:name="z10" w:id="2"/>
    <w:p>
      <w:pPr>
        <w:spacing w:after="0"/>
        <w:ind w:left="0"/>
        <w:jc w:val="left"/>
      </w:pPr>
      <w:r>
        <w:rPr>
          <w:rFonts w:ascii="Times New Roman"/>
          <w:b/>
          <w:i w:val="false"/>
          <w:color w:val="000000"/>
        </w:rPr>
        <w:t xml:space="preserve"> 
Салық заңнамасы, сондай-ақ Қазақстан Республикасының өзге де заңнамасының нормаларын орындау салық қызметі органдарына жүктелген бақылауды орындау мәселелері жөніндегі жеке кәсіпкерлік саласында жоспарлы кешендік немесе жоспарлы тақырыптық салық тексерулері жөніндегі</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Тексеруді тағайындаған салық қызметінің органы______________________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Нұсқама_____________________________________________________________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Салық төлеушінің (салық агентінің) аты-жөні немесе атауы____________</w:t>
      </w:r>
      <w:r>
        <w:br/>
      </w:r>
      <w:r>
        <w:rPr>
          <w:rFonts w:ascii="Times New Roman"/>
          <w:b w:val="false"/>
          <w:i w:val="false"/>
          <w:color w:val="000000"/>
          <w:sz w:val="28"/>
        </w:rPr>
        <w:t>
__________________________________________________________________________________________________________________________________________СТН_________________________________________________________________</w:t>
      </w:r>
      <w:r>
        <w:br/>
      </w:r>
      <w:r>
        <w:rPr>
          <w:rFonts w:ascii="Times New Roman"/>
          <w:b w:val="false"/>
          <w:i w:val="false"/>
          <w:color w:val="000000"/>
          <w:sz w:val="28"/>
        </w:rPr>
        <w:t>
ЖСН/БСН (ол болған кезде)___________________________________________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0638"/>
      </w:tblGrid>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талаптардың тізбесі</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барлық түрлері мен бюджетке төленетін басқа да міндетті төлемдер бойынша Қазақстан Республикасының салық заңнамасын, міндетті зейнетақы жарналарын толық және уақтылы есептеудің, ұстау мен аударудың, әлеуметтік аударымдарды толық және уақтылы есептеу мен төлеуді сақтау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Қазақстан Республикасы Кодексінің 627-бабы 5-тармағының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мәселелер бойынша берілген Қазақстан Республикасының салық заңнамасын, сондай-ақ Қазақстан Республикасының өзге де заңнамасын нұсқамаға сәйкес, оның ішінде:</w:t>
            </w:r>
          </w:p>
        </w:tc>
      </w:tr>
      <w:tr>
        <w:trPr>
          <w:trHeight w:val="8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және (немесе) бюджетке төленетін басқа да міндетті төлемдердің жекелеген түрлері бойынша салық міндеттемесінің орындалуы </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мемлекеттердің аумағынан Қазақстан Республикасының аумағына импортталған тауарлар бойынша қосылған құн салығы және (немесе) акциз бойынша салық міндеттемесінің орындалуы</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толық және уақтылы есептелуі, ұсталуы мен аударылуын, сондай-ақ әлеуметтік аударымдардың толық және уақтылы есептелуі мен төленуі</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осы </w:t>
            </w:r>
            <w:r>
              <w:rPr>
                <w:rFonts w:ascii="Times New Roman"/>
                <w:b w:val="false"/>
                <w:i w:val="false"/>
                <w:color w:val="000000"/>
                <w:sz w:val="20"/>
              </w:rPr>
              <w:t>Кодексте</w:t>
            </w:r>
            <w:r>
              <w:rPr>
                <w:rFonts w:ascii="Times New Roman"/>
                <w:b w:val="false"/>
                <w:i w:val="false"/>
                <w:color w:val="000000"/>
                <w:sz w:val="20"/>
              </w:rPr>
              <w:t>, сондай-ақ </w:t>
            </w:r>
            <w:r>
              <w:rPr>
                <w:rFonts w:ascii="Times New Roman"/>
                <w:b w:val="false"/>
                <w:i w:val="false"/>
                <w:color w:val="000000"/>
                <w:sz w:val="20"/>
              </w:rPr>
              <w:t>«Міндетті әлеуметтік сақтандыру туралы»</w:t>
            </w:r>
            <w:r>
              <w:rPr>
                <w:rFonts w:ascii="Times New Roman"/>
                <w:b w:val="false"/>
                <w:i w:val="false"/>
                <w:color w:val="000000"/>
                <w:sz w:val="20"/>
              </w:rPr>
              <w:t xml:space="preserve"> және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Қазақстан Республикасының заңдарында белгіленген міндеттерді орындауы</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жекелеген түрлерінің өндірілуі мен айналымын мемлекеттік реттеу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заңды күшіне енген үкімінің немесе қаулысының негізінде жалған кәсіпорын деп танылған салық төлеушімен жасасқан операциялар бойынша салық міндеттемелерін айқындау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кәсіпкерлік қызметті жүзеге асыруға ниеттенбестен жүзеге асырылған деп таныған мәміле (мәмілелер) бойынша салық міндеттемелерін анықтау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 (салық агенті) мен оның дебиторлары арасындағы өзара есеп айырысуды айқындау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шарттардың (келісімдердің) ережелерін қолдану заңдылығы</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Қайтаруға ұсынылған қосылған құн салығы сомаларының дұрыстығын растау</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бекітілген салықтық есепке алу саясатының бар болуы</w:t>
            </w:r>
          </w:p>
        </w:tc>
      </w:tr>
      <w:tr>
        <w:trPr>
          <w:trHeight w:val="31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w:t>
            </w:r>
            <w:r>
              <w:rPr>
                <w:rFonts w:ascii="Times New Roman"/>
                <w:b w:val="false"/>
                <w:i w:val="false"/>
                <w:color w:val="000000"/>
                <w:sz w:val="20"/>
              </w:rPr>
              <w:t>тәртіпте</w:t>
            </w:r>
            <w:r>
              <w:rPr>
                <w:rFonts w:ascii="Times New Roman"/>
                <w:b w:val="false"/>
                <w:i w:val="false"/>
                <w:color w:val="000000"/>
                <w:sz w:val="20"/>
              </w:rPr>
              <w:t xml:space="preserve"> бекітілген салық тіркелімдерін бар болуы</w:t>
            </w:r>
          </w:p>
        </w:tc>
      </w:tr>
    </w:tbl>
    <w:p>
      <w:pPr>
        <w:spacing w:after="0"/>
        <w:ind w:left="0"/>
        <w:jc w:val="both"/>
      </w:pPr>
      <w:r>
        <w:rPr>
          <w:rFonts w:ascii="Times New Roman"/>
          <w:b w:val="false"/>
          <w:i w:val="false"/>
          <w:color w:val="000000"/>
          <w:sz w:val="28"/>
        </w:rPr>
        <w:t>Тексеруді парағын алғаны туралы салық төлеушінің (салық агентінің) белгісі:</w:t>
      </w:r>
      <w:r>
        <w:br/>
      </w:r>
      <w:r>
        <w:rPr>
          <w:rFonts w:ascii="Times New Roman"/>
          <w:b w:val="false"/>
          <w:i w:val="false"/>
          <w:color w:val="000000"/>
          <w:sz w:val="28"/>
        </w:rPr>
        <w:t>
«___»________ 20___ ж. _______________________________</w:t>
      </w:r>
      <w:r>
        <w:br/>
      </w:r>
      <w:r>
        <w:rPr>
          <w:rFonts w:ascii="Times New Roman"/>
          <w:b w:val="false"/>
          <w:i w:val="false"/>
          <w:color w:val="000000"/>
          <w:sz w:val="28"/>
        </w:rPr>
        <w:t>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