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e4c1" w14:textId="463e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"Екінші деңгейдегі банктердегі, ипотекалық ұйымдардағы және "Қазақстан Даму Банкі" акционерлік қоғамындағы бухгалтерлік есептің үлгі шот жоспарын бекіту туралы" 2011 жылғы 31 қаңтардағы № 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 төрағасының 2011 жылғы 26 тамыздағы № 109 Қаулысы. Қазақстан Республикасы Әділет министрлігінде 2011 жылы 6 қазанда № 7237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екінші деңгейдегі банктердегі, ипотекалық ұйымдардағы және «Қазақстан Даму Банкі» акционерлік қоғамындағы бухгалтерлік есепті жетілдіру мақсатында Қазақстан Республикасы Ұлттық Банкінің Басқармасы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«Екінші деңгейдегі банктердегі, ипотекалық ұйымдардағы және «Қазақстан Даму Банкі» акционерлік қоғамындағы бухгалтерлік есептің үлгі шот жоспарын бекіту туралы» 2011 жылғы 31 қаңтардағы № 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6793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Екінші деңгейдегі банктердегі, ипотекалық ұйымдардағы және «Қазақстан Даму Банкі» акционерлік қоғамындағы бухгалтерлік есептің үлгі шот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1661-шоттан кейін мынадай мазмұндағы шотпен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«1662 Инвестициялық мүлік»;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2864-шоттан кейін мынадай мазмұндағы шотпен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«2865 Шығарылған электрондық ақша бойынша міндеттемелер»;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5753-шоттан кейін мынадай мазмұндағы шотпен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«5754 «Қазақстанның депозиттерге кепілдік беру қоры» акционерлік қоғамына жарналар түріндегі шығыстар»;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1201-шоттың сипаттамасы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«Шоттың мақсаты: Әділ құны бойынша пайда немесе зиян арқылы есепке алынатын бағалы қағаздардың құнын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әділ құны бойынша пайда немесе зиян арқылы есепке алынатын бағалы қағаздардың құны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сатып алынған бағалы қағаздардың сатылған кездегі құнын есептен шығару, сондай-ақ олардың құнын № 1202 баланстық шотқа жатқызу немесе бағалы қағаздарды басқа санатқа аудару жазылады.»;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1452-шоттың сипаттамасы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«Шоттың мақсаты: Нарықтағы сыйақы ставкалары, бағалы қағаздар бойынша кірістілік, өтімділікті ұстап тұру қажеттілігі өзгерген жағдайда сатылуы мүмкін бағалы қағаздардың құнын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сату үшін қолда бар бағалы қағаздардың құны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сатып алынған бағалы қағаздардың сатылған кездегі құнын есептен шығару, сондай-ақ олардың құнын № 1459 баланстық шотқа жатқызу немесе бағалы қағаздарды басқа санатқа аудару жазылады.»;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1661-шоттың сипаттамасынан кейін мынадай мазмұндағы 1662-шоттың атауымен және сипаттамасымен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«1662. Инвестициялық мүлік (актив).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мақсаты: Инвестициялық мүліктің, сондай-ақ оларды мақсаты бойынша пайдалануы үшін жұмыс күйіне келтірумен тікелей байланысты шығыстардың құнын ипотекалық ұйымдардың есепке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инвестициялық мүліктің, сондай-ақ оларды мақсаты бойынша пайдалану үшін жұмыс күйіне келтірумен тікелей байланысты шығыстардың құны, сондай-ақ қайта бағалаудың оң сомасы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инвестициялық мүліктің, ол істен шыққан немесе пайдаланудан біржолата алынған кездегі құнын есептен шығару, сондай-ақ қайта бағалаудың теріс сомасы жазылады.»;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2864-шоттың сипаттамасынан кейін мынадай мазмұндағы 2865-шоттың атауымен және сипаттамасымен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«2865. Шығарылған электрондық ақша бойынша міндеттемелер (пассив).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мақсаты: Эмитент банктің шығарылған электрондық ақша бойынша міндеттемелерінің сомаларын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жеке тұлғалардан немесе эмитент банктің агенттерінен алынған ақша сомалары шегінде банк шығарған электрондық ақша сомалары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электрондық ақшаның сомаларын оларды өтеген кезде есептен шығару жазылады.»;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5753-шоттың сипаттамасынан кейін мынадай мазмұндағы 5754-шоттың атауымен және сипаттамасымен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«5754. «Қазақстанның депозиттерге кепілдік беру қоры» акционерлік қоғамына жарналар түріндегі шығыстар.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мақсаты: «Қазақстанның депозиттерге кепілдік беру қоры» акционерлік қоғамына міндетті күнтізбелік, қосымша және төтенше жарналарды жүзеге асыру бойынша шығыстар сомаларын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«Қазақстанның депозиттерге кепілдік беру қоры» акционерлік қоғамына міндетті күнтізбелік, қосымша және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жарналарды жүзеге асыру бойынша шығыстар сомалары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келтірілген шығыстар сомаларын № 4999 баланстық шотқа есептен шығару жазылады.».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