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97efa" w14:textId="2297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темір жол жылжымалы құрамын тіркеу ережесін бекіту туралы" Қазақстан Республикасы Көлік және коммуникациялар министрінің 2002 жылғы 11 шілдедегі № 240-І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21 маусымдағы N 380 Бұйрығы. Қазақстан Республикасының Әділет министрлігінде 2011 жылы 27 маусымда N 7038 тіркелді. Күші жойылды - Қазақстан Республикасы Көлік және коммуникация министрінің 2012 жылғы 3 сәуірдегі № 143 бұйрығымен</w:t>
      </w:r>
    </w:p>
    <w:p>
      <w:pPr>
        <w:spacing w:after="0"/>
        <w:ind w:left="0"/>
        <w:jc w:val="both"/>
      </w:pPr>
      <w:r>
        <w:rPr>
          <w:rFonts w:ascii="Times New Roman"/>
          <w:b w:val="false"/>
          <w:i w:val="false"/>
          <w:color w:val="ff0000"/>
          <w:sz w:val="28"/>
        </w:rPr>
        <w:t xml:space="preserve">      Ескерту. Бұйрықтың күші жойылды - ҚР Көлік және коммуникация министрінің 2012.04.03 </w:t>
      </w:r>
      <w:r>
        <w:rPr>
          <w:rFonts w:ascii="Times New Roman"/>
          <w:b w:val="false"/>
          <w:i w:val="false"/>
          <w:color w:val="ff0000"/>
          <w:sz w:val="28"/>
        </w:rPr>
        <w:t>№ 143</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"Темір жол көлігі туралы" Қазақстан Республикасының 2001 жылғы 8 желтоқсандағы Заңының </w:t>
      </w:r>
      <w:r>
        <w:rPr>
          <w:rFonts w:ascii="Times New Roman"/>
          <w:b w:val="false"/>
          <w:i w:val="false"/>
          <w:color w:val="000000"/>
          <w:sz w:val="28"/>
        </w:rPr>
        <w:t>9-бабына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Республикасында темір жол жылжымалы құрамын тіркеу ережесін бекіту туралы" Қазақстан Республикасы Көлік және коммуникациялар министрінің 2002 жылғы 11 шілдедегі N 240-І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N 1948 болып тіркелген, "Ресми газет" газетінің 2002 жылғы 31 тамыздағы N 35 санында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Республикасында темір жол жылжымалы құрамын тіркеу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4-1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"4-1. Мемлекеттік тізілімге Қазақстан Республикасы Кеден одағының Бірыңғай кеден тарифімен белгіленген ставкалардан өзгеше кедендік баж ставкаларын қолдануына қатысы бар темір жол жылжымалы құрамы туралы қосымша мәліметтер енгізіледі.</w:t>
      </w:r>
      <w:r>
        <w:br/>
      </w:r>
      <w:r>
        <w:rPr>
          <w:rFonts w:ascii="Times New Roman"/>
          <w:b w:val="false"/>
          <w:i w:val="false"/>
          <w:color w:val="000000"/>
          <w:sz w:val="28"/>
        </w:rPr>
        <w:t>
      Қосымша мәліметтер кедендік бажын төлеу туралы ақпаратты қамтиды.";</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6-1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"6-1. Қазақстан Республикасы оған қатысты Кеден одағына мүше мемлекеттердің аумағында бұдан әрі қолдану үшін Кеден одағының Бірыңғай кедендік тарифтерінде белгіленген ставкалардан өзгеше кедендік баж ставкаларын қолданатын темір жол жылжымалы құрамын сенімгерлік басқаруға немесе мүліктік жалға берген жағдайда уәкілетті органды хабарлау, сонымен бірге жалға берушінің немесе жалға алушының Кеден одағының Бірыңғай кедендік тарифінің ставкалары бойынша есептелген кедендік әкелу баждарының сомасы айырмасының мөлшерінде кедендік бажды төлегенін растайтын құжаттардың көшірмесін ұсыну қажет.";</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24-1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"24-1. Қазақстан Республикасы оған қатысты Кеден одағына мүше мемлекеттердің аумағында бұдан әрі қолдану үшін Кеден одағының Бірыңғай кедендік тарифтерінде белгіленген ставкалардан өзгеше кедендік баж ставкаларын қолданатын темір жол жылжымалы құрамын өзге Кеден одағына мүше мемлекеттердің аумағында бұдан әрі қолдану үшін сатылған жағдайда сатушының немесе сатып алушының Кеден одағының Бірыңғай кедендік тарифінің ставкалары бойынша есептелген кедендік баждарының сомасы айырмасының мөлшерінде кедендік бажды төлегенін растайтын құжаттардың көшірмесін ұсынғаннан кейін Мемлекеттік тізілімінен шығарылуға жатады.".</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(Ә.Н. Барменқұлов) осы бұйрықты Қазақстан Республикасы Әділет министрлігінде мемлекеттік тіркеуін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Е.С. Дүйсенбаевқа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Камалиев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