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79c5" w14:textId="9bf7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4 қарашадағы N 26-1 шешімі. Батыс Қазақстан облысы Ақжайық ауданы әділет басқармасында 2010 жылғы 10 қарашада N 7-2-105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27 қазандағы N 26-1 "Батыс Қазақстан облыстық мәслихатының 2009 жылғы 14 желтоқсандағы N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"3 203 835" деген сан "3 226 999" деген санмен ауыстырылсын;</w:t>
      </w:r>
      <w:r>
        <w:br/>
      </w:r>
      <w:r>
        <w:rPr>
          <w:rFonts w:ascii="Times New Roman"/>
          <w:b w:val="false"/>
          <w:i w:val="false"/>
          <w:color w:val="000000"/>
          <w:sz w:val="28"/>
        </w:rPr>
        <w:t>
      "2 615 343" деген сан "2 638 507" деген санмен ауыстырылсын;</w:t>
      </w:r>
      <w:r>
        <w:br/>
      </w:r>
      <w:r>
        <w:rPr>
          <w:rFonts w:ascii="Times New Roman"/>
          <w:b w:val="false"/>
          <w:i w:val="false"/>
          <w:color w:val="000000"/>
          <w:sz w:val="28"/>
        </w:rPr>
        <w:t>
      2) тармақшадағы "3 179 331" деген сан "3 202 495"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Сиражев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қарашадағы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"2010-2012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26-1 шешіміне 1 қосымша</w:t>
      </w:r>
      <w:r>
        <w:br/>
      </w: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36"/>
        <w:gridCol w:w="726"/>
        <w:gridCol w:w="682"/>
        <w:gridCol w:w="7164"/>
        <w:gridCol w:w="176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3226999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277955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30"/>
        <w:gridCol w:w="840"/>
        <w:gridCol w:w="819"/>
        <w:gridCol w:w="6955"/>
        <w:gridCol w:w="16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3202495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165879</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111752</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269448</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10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жоғары тұрған бюджет алдындағы борышын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