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4685" w14:textId="4684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14 маусымдағы № 22-1 шешімі. Батыс Қазақстан облысының Әділет басқармасында 2010 жылғы 1 шілдеде № 3045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Қаржы министрінің 2010 жылғы 29 сәуірдегі № 198 "Қазақстан Республикасының Бiрыңғай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2010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2009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"76 208 485" деген сан "77 213 650" деген санмен ауыстырылсын;</w:t>
      </w:r>
      <w:r>
        <w:br/>
      </w:r>
      <w:r>
        <w:rPr>
          <w:rFonts w:ascii="Times New Roman"/>
          <w:b w:val="false"/>
          <w:i w:val="false"/>
          <w:color w:val="000000"/>
          <w:sz w:val="28"/>
        </w:rPr>
        <w:t>
      "52 315 841" деген сан "53 321 006" деген санмен ауыстырылсын;</w:t>
      </w:r>
      <w:r>
        <w:br/>
      </w:r>
      <w:r>
        <w:rPr>
          <w:rFonts w:ascii="Times New Roman"/>
          <w:b w:val="false"/>
          <w:i w:val="false"/>
          <w:color w:val="000000"/>
          <w:sz w:val="28"/>
        </w:rPr>
        <w:t>
      2) тармақшадағы "81 197 544" деген сан "82 202 709"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бірінші абзацта "24 741 242" деген сан "25 746 407" деген санмен ауыстырылсын;</w:t>
      </w:r>
      <w:r>
        <w:br/>
      </w:r>
      <w:r>
        <w:rPr>
          <w:rFonts w:ascii="Times New Roman"/>
          <w:b w:val="false"/>
          <w:i w:val="false"/>
          <w:color w:val="000000"/>
          <w:sz w:val="28"/>
        </w:rPr>
        <w:t>
      оныншы абзацта "452 499" деген сан "911 499" деген санмен ауыстырылсын;</w:t>
      </w:r>
      <w:r>
        <w:br/>
      </w:r>
      <w:r>
        <w:rPr>
          <w:rFonts w:ascii="Times New Roman"/>
          <w:b w:val="false"/>
          <w:i w:val="false"/>
          <w:color w:val="000000"/>
          <w:sz w:val="28"/>
        </w:rPr>
        <w:t>
      мынадай мазмұндағы қырық жетінші, қырық сегізінші абзацтармен толықтырылсын:</w:t>
      </w:r>
      <w:r>
        <w:br/>
      </w:r>
      <w:r>
        <w:rPr>
          <w:rFonts w:ascii="Times New Roman"/>
          <w:b w:val="false"/>
          <w:i w:val="false"/>
          <w:color w:val="000000"/>
          <w:sz w:val="28"/>
        </w:rPr>
        <w:t>
      "Бизнестің жол картасы – 2020" бағдарламасы шеңберінде жеке меншік кәсіпкерлікті қолдауға – 358 965 мың теңге;</w:t>
      </w:r>
      <w:r>
        <w:br/>
      </w:r>
      <w:r>
        <w:rPr>
          <w:rFonts w:ascii="Times New Roman"/>
          <w:b w:val="false"/>
          <w:i w:val="false"/>
          <w:color w:val="000000"/>
          <w:sz w:val="28"/>
        </w:rPr>
        <w:t>
      "Бизнестің жол картасы – 2020" бағдарламасы шеңберінде индустриялық инфрақұрылымды дамытуға – 187 200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14 маусымдағы</w:t>
      </w:r>
      <w:r>
        <w:br/>
      </w:r>
      <w:r>
        <w:rPr>
          <w:rFonts w:ascii="Times New Roman"/>
          <w:b w:val="false"/>
          <w:i w:val="false"/>
          <w:color w:val="000000"/>
          <w:sz w:val="28"/>
        </w:rPr>
        <w:t>
№ 22-1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902"/>
        <w:gridCol w:w="853"/>
        <w:gridCol w:w="953"/>
        <w:gridCol w:w="6673"/>
        <w:gridCol w:w="227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77 213 650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23 853 207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10 150 315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10 150 315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6 308 088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53 321 006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51 574 540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51 574 540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бюджеттермен өзара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82 202 709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1 616 219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492 874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2 594 537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2 594 537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2 545 667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2 370 210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10 635 127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3 052 029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902 692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1 790 395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4 549 691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3 051 409</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165 912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1 822 990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1 498 282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1 045 783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22 174 112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638 037</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2 266 186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5 030 260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3 937 888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12 649 004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1 033 324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937 550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2 538 491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1 419 623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903 211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265 596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4 947 800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653 054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4 294 746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987 258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710 376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2 608 965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174 780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751 428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119 891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4 012 925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902 102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321 812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1 256 108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1 151 492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3 305 325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1 828 967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1 308 480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1 263 883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700 220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23 084 756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6 025 427</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-482 864</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