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26b" w14:textId="d6a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ауданы, Зырян қаласы бойынша біржолғы талонның құны туралы" 2009 жылғы 22 шілдедегі N 21/7-IV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аудандық мәслихатының 2010 жылғы 16 сәуірдегі N 28/8-IV шешімі. Шығыс Қазақстан облысы Әділет департаментінің Зырян аудандық әділет басқармасында 2010 жылғы 27 мамырда N 5-12-107 тіркелді. Күші жойылды - Зырян аудандық мәслихатының 2012 жылғы 20 желтоқсандағы N 13/10-V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2012.12.20  N 13/10-V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(Салық кодексі)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471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Республикасының Кодексін қолданысқа енгізу туралы» (Салық кодексі)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жергілікті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«Зырян ауданы, Зырян қаласы бойынша біржолғы талонның құны туралы» (нормативтік құқықтық актілерді мемлекеттік тіркеу тізілімінде № 5-12-92 тіркелген, 2009 жылғы 10 қыркүйектегі № 37 «Заря Востока» газетінде жарияланған) 2009 жылғы 22 шілдедегі № 21/7-ІV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 қосымшасына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«Зырян ауданы, Зырян қаласы бойынша қызмет дүркін-дүркін сипатындағы кәсіпкерлік қызмет болып келетін жеке тұлғалар үшін біржолғы талондар көлемі»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«Жеке жеңіл автокөлік иелерінің жолаушыларды тасымалдау қызметтері (лицензиялық тасымалдауды қоспағанда)» жолы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Выходцев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