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8a01" w14:textId="4aa8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28 шілдедегі № 07 "Әлеуметтік жұмыс орындарын ұйымдастыру туралы"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27 тамыздағы N 95 қаулысы. Шығыс Қазақстан облысы Аягөз аудандық әділет басқармасында 2010 жылғы 01 қазанда N 5-6-119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 әкімдігінің 2010 жылғы 28 шілдедегі № 07 «Әлеуметтік жұмыс орындарын ұйымдастыру туралы» (нормативтік құқықтық кесімдердің мемлекеттік тіркеу тізілімінде № 5-6-113, 2010 жылдың 19 тамызында тіркелген, «Аягөз жаңалықтары» газетінің 2010 жылғы 28 тамыздағы № 39 (9943)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бағдарламасы бойынша әлеуметтік жұмыс орнына жұмысқа орналасқан жұмыссыздардың және халықтың нысаналы тобындағы жұмыспен қамтылмағандардың еңбекақысын төлеуге шыққан шығындар, Қазақстан Республикасының заңнамасында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еңбекақының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сексен пайызы мөлшерінде бөліммен жергілікті бюджет қаражаты есебінен ішінара жұмыс берушінің есеп шотына аударылады.».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Н. Сұлтановқа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әкімі                   Ә. Мұхтарханов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