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6878" w14:textId="784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12 ақпандағы N 12/92-IV "Ауыл шаруашылығы мақсатында жерлерге салынатын базалық салық ставкаларының мөлшерін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22 желтоқсандағы N 34/235-IV шешімі. Оңтүстік Қазақстан облысы Әділет департаментінде 2011 жылғы 19 қаңтарда N 14-13-84 тіркелді. Күші жойылды - Оңтүстік Қазақстан облысы Төлеби аудандық мәслихатының 2012 жылғы 28 қыркүйектегі № 9/47-V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аудандық мәслихатының 2012.09.28 № 9/47-V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Төлеби аудандық мәслихатының 2004 жылғы 27 мамырдағы «Төлеби ауданы мен Ленгір қаласындағы жерлерді аймақтарға бөлу жобасын (схемасын) бекіту туралы» шешіміне 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мақсатында жерлерге салынатын базалық салық ставкаларының мөлшерін белгілеу туралы» шешіміне өзгеріс енгізу туралы» Төлеби аудандық мәслихатының 2009 жылғы 12 ақпандағы № 12/94-ІV (Нормативтік құқықтық кесімдерді мемлекеттік тіркеу тізілімінде 14-13-51 нөмірмен тіркелген, 2009 жылы 21 наурызда «Төлеби туы» газетінің № 14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30 пайызға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жариялануға жатады.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