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bf97" w14:textId="88bb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ауылдық елді мекендерге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мәслихатының 2010 жылғы 27 шілдедегі N 19-4 шешімі. Солтүстік Қазақстан облысы Ғабит Мүсірепов ауданының Әділет басқармасында 2010 жылғы 2 қыркүйекте N 13-5-117 тіркелді. Күші жойылды - Солтүстік Қазақстан облысы Ғабит Мүсірепов атындағы аудандық мәслихатының 2010 жылғы 20 желтоқсандағы N 22-8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2010.12.20 N 22-8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21 қаңтардағы № 148-II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камсыздандыру, мәдениет және спорт мамандарына әлеуметтік қолдау шараларын ұсыну және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Ғабит Мүсiрепов атындағы ауданының елді мекендеріне 2010 жылы жұмыс істеуге және тұруға келген денсаулық сақтау, білім беру, әлеуметтік қамтамасыз ету, мәдениет және спорт мамандарына, тұрғын үй сатып алу үшін, маман өтінішінде көрсетілген, өтініш берген сәтінде, бірақ алты жүз отыз еселік айлық есеп көрсеткішінен аспайтын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Ғабит Мүсiрепов атындағы ауданының селолық елді мекендеріне жұмыс істеу және тұру үшін келген денсаулық сақтау, білім беру, әлеуметтік қамтамасыз ету, мәдениет және спорт мамандарына 2010 жылы өтініш беру кезіне жетпіс есептік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3. «Ғабит Мүсірепов атындағы ауданның ауыл шаруашылығы бөлімі» мемлекеттік мекемесі ауылдық аумақтарды дамыту жөніндегі уәкілетті орган ретінде, осы шешімінің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
      4. Осы шешім алғашқы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ХIX сессиясының төрағасы                   хатшысы</w:t>
      </w:r>
      <w:r>
        <w:br/>
      </w:r>
      <w:r>
        <w:rPr>
          <w:rFonts w:ascii="Times New Roman"/>
          <w:b w:val="false"/>
          <w:i w:val="false"/>
          <w:color w:val="000000"/>
          <w:sz w:val="28"/>
        </w:rPr>
        <w:t>
</w:t>
      </w:r>
      <w:r>
        <w:rPr>
          <w:rFonts w:ascii="Times New Roman"/>
          <w:b w:val="false"/>
          <w:i/>
          <w:color w:val="000000"/>
          <w:sz w:val="28"/>
        </w:rPr>
        <w:t>      А. Кобзев                                  Б. Ысқақова</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ауыл шаруашылығы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 Дүйсенов</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 Баймолдина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