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3c6e" w14:textId="1283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2010 жылғы 18 маусымдағы N 144 қаулысы және Солтүстік Қазақстан облысы мәслихатының 2010 жылғы 18 маусымдағы N 26/8 біріккен шешімдері. Солтүстік Қазақстан облысының Әділет департаментінде 2010 жылғы 7 шілдеде N 1748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Солтүстік Қазақстан облысы әкімдігінің 13.12.2018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Солтүстік Қазақстан облыстық мәслихатының 13.12.2018 № 27/10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кейбір елді мекендері таратылсын: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Ильинка ауылдық округі Өндіріс, Веселые Крутинки ауылдары;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Қызыләскер ауылдық округі Новое ауылы;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Лесной ауылдық округі Қызыл жұлдыз ауылы;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ауданы, Кантемир ауылдық округінің Дорожное ауылы таратылсын.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тармағында "селолық", "селолары", "селосы" сөздері "ауылдық", "ауылдары", "ауылы" сөздерімен ауыстырылды - Солтүстік Қазақстан облысы әкімдігінің 13.12.2018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Солтүстік Қазақстан облыстық мәслихатының 13.12.2018 № 27/10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 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