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a5b" w14:textId="998c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қаражаты есебінен ауылдық (селолық) жерде жұмыс істейтін әлеуметтік қамсыздандыру, білім беру мәдениет саласының азаматтық қызметшілер лауазымдарының тізбесін айқындау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2010 жылғы 14 қаңтардағы № 10 қаулысы. Қостанай облысы Аманкелді ауданының Әділет басқармасында 2010 жылғы 25 ақпанда № 9-6-106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Аудандық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қаражаты есебінен, жиырма бес пайызға жоғары лауазымдық жалақылар мен тарифтік ставкаларды алатын ауылдық (селолық) жерде жұмыс істейтін әлеуметтік қамсыздандыру, білім беру және мәдениет мамандары </w:t>
      </w:r>
      <w:r>
        <w:rPr>
          <w:rFonts w:ascii="Times New Roman"/>
          <w:b w:val="false"/>
          <w:i w:val="false"/>
          <w:color w:val="000000"/>
          <w:sz w:val="28"/>
        </w:rPr>
        <w:t>лауазымдарының тізбесі осы қаулының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Ж. Тәукеновке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 және 2010 жылғы 01 қаңтардан бастап туындаған құқықтық 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Аманкелді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___________ Ж. Оташев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Аманкелді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14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 қаулысына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бюджет қаражаты есебінен ауылдық (селолық)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жерде жұмыс істейтін әлеуметтік қамсыздандыру, білім беру, мәдениет саласының азаматтық қызметшілер лауазымдарының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1) күтуші әлеуметтік жұмыскер;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2)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2) жалпы білім беретін мектептерде ғылыми, оқу, оқу–тәрбие,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бастауыш орта білім берудің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3)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5) қосымша білім беру педагогы;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6) аға тәрбиеші,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8)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9) дене тәрбиесі жөніндегі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10) зертхана, кабинеттің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11) еңбек жөніндегі нұсқаушы;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12) аға әдістемеші,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13) өндірістік оқыту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14) аға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16)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17)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18)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19)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21) психологтік-педагогикалық түзету кабинетінің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22) ансамбльдің 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23)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24) жаттықтырушы-оқытушы;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25) алғашқы әскери даярлық жөніндегі оқытушы-ұйымдастырушы.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1) ұйымның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3) қор қоймасының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4)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5) кітапханашы,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9)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10) әдістемеші, аға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11)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12)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13) басқару пультінің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14)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15) әнші.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